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A7" w:rsidRDefault="00444589" w:rsidP="00AF09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</w:t>
      </w:r>
      <w:r w:rsidR="00472859" w:rsidRPr="00472859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развития муниципального образования город Новомосковск</w:t>
      </w:r>
      <w:r w:rsidR="00472859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C9553D">
        <w:rPr>
          <w:rFonts w:ascii="Times New Roman" w:hAnsi="Times New Roman"/>
          <w:b/>
          <w:bCs/>
          <w:sz w:val="28"/>
          <w:szCs w:val="28"/>
        </w:rPr>
        <w:t>9</w:t>
      </w:r>
      <w:r w:rsidR="00472859">
        <w:rPr>
          <w:rFonts w:ascii="Times New Roman" w:hAnsi="Times New Roman"/>
          <w:b/>
          <w:bCs/>
          <w:sz w:val="28"/>
          <w:szCs w:val="28"/>
        </w:rPr>
        <w:t xml:space="preserve"> год и период до 20</w:t>
      </w:r>
      <w:r w:rsidR="00A3513E">
        <w:rPr>
          <w:rFonts w:ascii="Times New Roman" w:hAnsi="Times New Roman"/>
          <w:b/>
          <w:bCs/>
          <w:sz w:val="28"/>
          <w:szCs w:val="28"/>
        </w:rPr>
        <w:t>2</w:t>
      </w:r>
      <w:r w:rsidR="00C9553D">
        <w:rPr>
          <w:rFonts w:ascii="Times New Roman" w:hAnsi="Times New Roman"/>
          <w:b/>
          <w:bCs/>
          <w:sz w:val="28"/>
          <w:szCs w:val="28"/>
        </w:rPr>
        <w:t>1</w:t>
      </w:r>
      <w:r w:rsidR="0047285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3513E" w:rsidRDefault="00A3513E" w:rsidP="00AF09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5829"/>
        <w:gridCol w:w="1418"/>
        <w:gridCol w:w="1425"/>
        <w:gridCol w:w="1284"/>
        <w:gridCol w:w="1284"/>
        <w:gridCol w:w="1284"/>
        <w:gridCol w:w="1284"/>
        <w:gridCol w:w="1235"/>
      </w:tblGrid>
      <w:tr w:rsidR="00F11E85" w:rsidRPr="00F11E85" w:rsidTr="00255530">
        <w:trPr>
          <w:trHeight w:val="375"/>
        </w:trPr>
        <w:tc>
          <w:tcPr>
            <w:tcW w:w="5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Отчет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Отчет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Оценка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Прогноз</w:t>
            </w:r>
          </w:p>
        </w:tc>
      </w:tr>
      <w:tr w:rsidR="00F11E85" w:rsidRPr="00F11E85" w:rsidTr="00255530">
        <w:trPr>
          <w:trHeight w:val="322"/>
        </w:trPr>
        <w:tc>
          <w:tcPr>
            <w:tcW w:w="5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</w:tr>
      <w:tr w:rsidR="00F11E85" w:rsidRPr="00F11E85" w:rsidTr="00255530">
        <w:trPr>
          <w:trHeight w:val="322"/>
        </w:trPr>
        <w:tc>
          <w:tcPr>
            <w:tcW w:w="5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E85" w:rsidRPr="00F11E85" w:rsidTr="00255530">
        <w:trPr>
          <w:trHeight w:val="6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133,90</w:t>
            </w:r>
          </w:p>
        </w:tc>
      </w:tr>
      <w:tr w:rsidR="00F11E85" w:rsidRPr="00F11E85" w:rsidTr="00255530">
        <w:trPr>
          <w:trHeight w:val="155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99,48</w:t>
            </w:r>
          </w:p>
        </w:tc>
      </w:tr>
      <w:tr w:rsidR="00F11E85" w:rsidRPr="00F11E85" w:rsidTr="00255530">
        <w:trPr>
          <w:trHeight w:val="149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(среднегодовая), </w:t>
            </w:r>
            <w:proofErr w:type="gram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122,33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99,48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(среднегодовая), </w:t>
            </w:r>
            <w:proofErr w:type="gram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99,48</w:t>
            </w:r>
          </w:p>
        </w:tc>
      </w:tr>
      <w:tr w:rsidR="00F11E85" w:rsidRPr="00F11E85" w:rsidTr="00255530">
        <w:trPr>
          <w:trHeight w:val="592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-5,47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Промышленное производство (по полному кругу организаций)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отгруженной продукции (услуг) в действующих ценах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102 961,92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109 125,30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122 453,10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130 449,62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140 297,47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151 215,62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103,94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1 220,58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-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-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291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96 759,72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103 782,94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115 646,85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123 261,55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132 441,99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142 863,85</w:t>
            </w:r>
          </w:p>
        </w:tc>
      </w:tr>
      <w:tr w:rsidR="00F11E85" w:rsidRPr="00F11E85" w:rsidTr="00255530">
        <w:trPr>
          <w:trHeight w:val="221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- раздел C: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103,78</w:t>
            </w:r>
          </w:p>
        </w:tc>
      </w:tr>
      <w:tr w:rsidR="00F11E85" w:rsidRPr="00F11E85" w:rsidTr="00255530">
        <w:trPr>
          <w:trHeight w:val="499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- раздел C: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103,94</w:t>
            </w:r>
          </w:p>
        </w:tc>
      </w:tr>
      <w:tr w:rsidR="00F11E85" w:rsidRPr="00F11E85" w:rsidTr="00255530">
        <w:trPr>
          <w:trHeight w:val="315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F11E85" w:rsidRPr="00F11E85" w:rsidTr="00255530">
        <w:trPr>
          <w:trHeight w:val="552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воздуха, объем отгруженной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6 366,37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6 561,99</w:t>
            </w:r>
          </w:p>
        </w:tc>
      </w:tr>
      <w:tr w:rsidR="00F11E85" w:rsidRPr="00F11E85" w:rsidTr="00255530">
        <w:trPr>
          <w:trHeight w:val="126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F11E85" w:rsidRPr="00F11E85" w:rsidTr="00255530">
        <w:trPr>
          <w:trHeight w:val="126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25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- раздел D: Обеспечение</w:t>
            </w:r>
            <w:r w:rsid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11E85" w:rsidRPr="00F11E85" w:rsidTr="00255530">
        <w:trPr>
          <w:trHeight w:val="58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загрязнений, объем отгруженной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569,20</w:t>
            </w:r>
          </w:p>
        </w:tc>
      </w:tr>
      <w:tr w:rsidR="00F11E85" w:rsidRPr="00F11E85" w:rsidTr="00255530">
        <w:trPr>
          <w:trHeight w:val="45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загрязнений, индекс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98,28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загрязнений, 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Вт.ч</w:t>
            </w:r>
            <w:proofErr w:type="spell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группам потребителей: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кВт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106,13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кВт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134,58</w:t>
            </w:r>
          </w:p>
        </w:tc>
      </w:tr>
      <w:tr w:rsidR="00F11E85" w:rsidRPr="00F11E85" w:rsidTr="00255530">
        <w:trPr>
          <w:trHeight w:val="351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руб./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5 547,46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6 075,14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6 318,14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тарифов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 период с начала года к соотв. периоду предыдущего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года,%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декабрь к декабрю предыдущего года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руб./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3 723,56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4 089,41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4 638,20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4 916,50</w:t>
            </w:r>
          </w:p>
        </w:tc>
      </w:tr>
      <w:tr w:rsidR="00F11E85" w:rsidRPr="00F11E85" w:rsidTr="00255530">
        <w:trPr>
          <w:trHeight w:val="290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тарифов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 период с начала года к соотв. периоду предыдущего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года,%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декабрь к декабрю предыдущего года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Сельское хозяйство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5 258,03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5 309,56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5 621,79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6 250,83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2 993,55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3 656,64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3 938,02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2 312,81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F11E85" w:rsidRPr="00F11E85" w:rsidTr="00255530">
        <w:trPr>
          <w:trHeight w:val="615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55530" w:rsidRDefault="00255530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2 331,56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97,61</w:t>
            </w:r>
          </w:p>
        </w:tc>
      </w:tr>
      <w:tr w:rsidR="00F11E85" w:rsidRPr="00F11E85" w:rsidTr="00255530">
        <w:trPr>
          <w:trHeight w:val="144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2 108,17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2 719,11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114,69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в хозяйствах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1 200,16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25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продукции в хозяйствах </w:t>
            </w:r>
            <w:r w:rsid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105,44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Производство важнейших видов продукции в натуральном выражении 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тонн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тонн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F11E85" w:rsidRPr="00F11E85" w:rsidTr="00255530">
        <w:trPr>
          <w:trHeight w:val="145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тонн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тонн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тонн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для бетонов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гофрированный картон, бумажная и картонная тара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м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117 887,00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142 042,00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158 684,00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158 684,00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амселитра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 + АНУ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жидкий хлор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ЖБИ и товарный бетон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spellEnd"/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керамический пустотелый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условных кирпичей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гипсовое вяжущее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гипсокартонные листы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м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ПГП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акустические плиты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19 436,00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смеси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.т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3 230,52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млрд. кВт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E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121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тепловыми электростанциями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млрд. кВт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F11E85" w:rsidRPr="00F11E85" w:rsidTr="00255530">
        <w:trPr>
          <w:trHeight w:val="112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Строительство</w:t>
            </w:r>
          </w:p>
        </w:tc>
      </w:tr>
      <w:tr w:rsidR="00F11E85" w:rsidRPr="00F11E85" w:rsidTr="00255530">
        <w:trPr>
          <w:trHeight w:val="25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F11E85" w:rsidRPr="00F11E85" w:rsidTr="00255530">
        <w:trPr>
          <w:trHeight w:val="562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пред. году в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.ц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енах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Рынок товаров и услуг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24 823,31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28 194,53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30 348,09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32 509,64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34 959,56</w:t>
            </w:r>
          </w:p>
        </w:tc>
      </w:tr>
      <w:tr w:rsidR="00F11E85" w:rsidRPr="00F11E85" w:rsidTr="00255530">
        <w:trPr>
          <w:trHeight w:val="13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пред. году в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.ц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енах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240,68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пред. году в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.ц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енах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цен на продукцию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 к декабрю предыдущего года, 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5 968,48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6 304,24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7 108,81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7 527,63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8 064,44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пред. году в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.ц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енах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</w:t>
            </w:r>
          </w:p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Инвестиции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10 553,92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12 598,57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13 075,71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13 668,06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14 246,98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пред. году в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.ц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енах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F11E85" w:rsidRPr="00F11E85" w:rsidTr="00255530">
        <w:trPr>
          <w:trHeight w:val="874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12 064,67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13 858,93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14 588,47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пред. году в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сопост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.ц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енах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F11E85" w:rsidRPr="00F11E85" w:rsidTr="00255530">
        <w:trPr>
          <w:trHeight w:val="20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 к </w:t>
            </w:r>
            <w:proofErr w:type="spell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предыд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Собственные средства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9 125,24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10 652,77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11 019,71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11 406,25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11 436,11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11 196,52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Привлеченные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3 391,95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из бюджета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65,25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из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F11E85" w:rsidRPr="00F11E85" w:rsidTr="00255530">
        <w:trPr>
          <w:trHeight w:val="318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109 593 258,00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124 780 439,00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128 523 852,17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131 094 329,21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136 338 102,38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140 428 245,45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Финансы</w:t>
            </w:r>
          </w:p>
        </w:tc>
      </w:tr>
      <w:tr w:rsidR="00F11E85" w:rsidRPr="00255530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23 918 649,00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20 125 577,00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19 119 298,15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19 310 491,13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19 793 253,41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20 426 637,52</w:t>
            </w:r>
          </w:p>
        </w:tc>
      </w:tr>
      <w:tr w:rsidR="00F11E85" w:rsidRPr="00255530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убыточных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1 602 111,00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1 029 294,00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1 137 369,87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1 114 622,47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1 081 183,80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1 037 936,45</w:t>
            </w:r>
          </w:p>
        </w:tc>
      </w:tr>
      <w:tr w:rsidR="00F11E85" w:rsidRPr="00255530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сальдо прибылей и убытков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22 316 538,00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19 096 283,00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17 981 928,28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18 195 868,66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18 712 069,61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19 388 701,07</w:t>
            </w:r>
          </w:p>
        </w:tc>
      </w:tr>
      <w:tr w:rsidR="00F11E85" w:rsidRPr="00255530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фондов, начисленная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6 849 659,00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8 312 775,00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8 562 158,25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8 733 401,42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9 082 737,47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9 355 219,60</w:t>
            </w:r>
          </w:p>
        </w:tc>
      </w:tr>
      <w:tr w:rsidR="00F11E85" w:rsidRPr="00F11E85" w:rsidTr="00255530">
        <w:trPr>
          <w:trHeight w:val="315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C3B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F11E85" w:rsidRPr="00255530" w:rsidRDefault="00F11E85" w:rsidP="00F1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Труд и занятость</w:t>
            </w:r>
          </w:p>
        </w:tc>
      </w:tr>
      <w:tr w:rsidR="00F11E85" w:rsidRPr="00F11E85" w:rsidTr="00255530">
        <w:trPr>
          <w:trHeight w:val="144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43,327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43,340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43,352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11E8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43,364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16 724 170,20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16 658 913,40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18 077 009,70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18 877 345,80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19 646 898,60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20 707 386,80</w:t>
            </w:r>
          </w:p>
        </w:tc>
      </w:tr>
      <w:tr w:rsidR="00F11E85" w:rsidRPr="00255530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социального характера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291 157,30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287 889,10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285 019,40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323 752,00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340 939,60</w:t>
            </w:r>
          </w:p>
        </w:tc>
      </w:tr>
      <w:tr w:rsidR="00F11E85" w:rsidRPr="00F11E85" w:rsidTr="00282C3B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31 386,38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34 768,60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37 766,23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39 793,74</w:t>
            </w:r>
          </w:p>
        </w:tc>
      </w:tr>
      <w:tr w:rsidR="00F11E85" w:rsidRPr="00F11E85" w:rsidTr="00282C3B">
        <w:trPr>
          <w:trHeight w:val="7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105,37</w:t>
            </w:r>
          </w:p>
        </w:tc>
      </w:tr>
      <w:tr w:rsidR="00F11E85" w:rsidRPr="00F11E85" w:rsidTr="00255530">
        <w:trPr>
          <w:trHeight w:val="7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Развитие социальной сферы</w:t>
            </w:r>
          </w:p>
        </w:tc>
      </w:tr>
      <w:tr w:rsidR="00F11E85" w:rsidRPr="00F11E85" w:rsidTr="00255530">
        <w:trPr>
          <w:trHeight w:val="130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E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E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E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E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E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13 439,00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13 567,00</w:t>
            </w:r>
          </w:p>
        </w:tc>
      </w:tr>
      <w:tr w:rsidR="00F11E85" w:rsidRPr="00F11E85" w:rsidTr="00255530">
        <w:trPr>
          <w:trHeight w:val="401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34,240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автомобильных дорог местного значения с твердым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F11E85" w:rsidRPr="00F11E85" w:rsidTr="00255530">
        <w:trPr>
          <w:trHeight w:val="7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5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1E85" w:rsidRPr="00F11E85" w:rsidTr="00255530">
        <w:trPr>
          <w:trHeight w:val="67"/>
        </w:trPr>
        <w:tc>
          <w:tcPr>
            <w:tcW w:w="5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1E85" w:rsidRPr="00F11E85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улиц, набережных, проездов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255530" w:rsidRDefault="00F11E85" w:rsidP="00F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E85" w:rsidRPr="00F11E85" w:rsidRDefault="00F11E85" w:rsidP="00F1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</w:tbl>
    <w:p w:rsidR="003C455E" w:rsidRDefault="003C455E" w:rsidP="00AF09A7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C455E" w:rsidSect="0047285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170156" w:rsidRPr="00170156" w:rsidRDefault="00170156" w:rsidP="00170156">
      <w:pPr>
        <w:pStyle w:val="ac"/>
        <w:jc w:val="center"/>
        <w:rPr>
          <w:b/>
          <w:bCs/>
          <w:szCs w:val="28"/>
        </w:rPr>
      </w:pPr>
      <w:r w:rsidRPr="00170156">
        <w:rPr>
          <w:b/>
          <w:bCs/>
          <w:szCs w:val="28"/>
        </w:rPr>
        <w:t xml:space="preserve">Пояснительная записка к прогнозным показателям социально-экономического развития муниципального образования город Новомосковск </w:t>
      </w:r>
    </w:p>
    <w:p w:rsidR="00170156" w:rsidRPr="00170156" w:rsidRDefault="00170156" w:rsidP="00170156">
      <w:pPr>
        <w:pStyle w:val="ac"/>
        <w:jc w:val="center"/>
        <w:rPr>
          <w:b/>
          <w:bCs/>
          <w:szCs w:val="28"/>
        </w:rPr>
      </w:pPr>
      <w:r w:rsidRPr="00170156">
        <w:rPr>
          <w:b/>
          <w:bCs/>
          <w:szCs w:val="28"/>
        </w:rPr>
        <w:t>на 2018 год и на период до 2020 года.</w:t>
      </w:r>
    </w:p>
    <w:p w:rsidR="00170156" w:rsidRPr="00170156" w:rsidRDefault="00170156" w:rsidP="00170156">
      <w:pPr>
        <w:pStyle w:val="ac"/>
        <w:jc w:val="both"/>
        <w:rPr>
          <w:bCs/>
          <w:color w:val="FF0000"/>
          <w:szCs w:val="28"/>
        </w:rPr>
      </w:pPr>
    </w:p>
    <w:p w:rsidR="00170156" w:rsidRPr="00282C3B" w:rsidRDefault="00170156" w:rsidP="00170156">
      <w:pPr>
        <w:pStyle w:val="ac"/>
        <w:ind w:firstLine="708"/>
        <w:jc w:val="both"/>
        <w:rPr>
          <w:bCs/>
          <w:szCs w:val="28"/>
          <w:highlight w:val="green"/>
        </w:rPr>
      </w:pPr>
      <w:r w:rsidRPr="00282C3B">
        <w:rPr>
          <w:bCs/>
          <w:szCs w:val="28"/>
          <w:highlight w:val="green"/>
        </w:rPr>
        <w:t>В течение последних лет в экономике муниципального образования сложилась благоприятная ситуация, способствующая поддержанию темпов экономического роста на относительно высоком уровне, однако скачок инфляции в четвертом квартале 2014 и в течение всего 2015 года, а также сложная геополитическая ситуация в стране, внесли определенные коррективы в темпы роста некоторых показателей.</w:t>
      </w:r>
    </w:p>
    <w:p w:rsidR="00170156" w:rsidRPr="00282C3B" w:rsidRDefault="00170156" w:rsidP="00170156">
      <w:pPr>
        <w:pStyle w:val="ac"/>
        <w:jc w:val="both"/>
        <w:rPr>
          <w:bCs/>
          <w:szCs w:val="28"/>
          <w:highlight w:val="green"/>
        </w:rPr>
      </w:pPr>
      <w:r w:rsidRPr="00282C3B">
        <w:rPr>
          <w:b/>
          <w:bCs/>
          <w:szCs w:val="28"/>
          <w:highlight w:val="green"/>
        </w:rPr>
        <w:tab/>
        <w:t>Демографическая ситуация</w:t>
      </w:r>
      <w:r w:rsidRPr="00282C3B">
        <w:rPr>
          <w:bCs/>
          <w:szCs w:val="28"/>
          <w:highlight w:val="green"/>
        </w:rPr>
        <w:t>. Статистическое наблюдение показывает ежегодное снижение численности населения муниципального образования, обусловленное, прежде всего, превышением показателя смертности над рождаемостью. Фактическая среднегодовая численность населения муниципального образования город Новомосковск за 201</w:t>
      </w:r>
      <w:r w:rsidR="0064392D" w:rsidRPr="00282C3B">
        <w:rPr>
          <w:bCs/>
          <w:szCs w:val="28"/>
          <w:highlight w:val="green"/>
        </w:rPr>
        <w:t>7</w:t>
      </w:r>
      <w:r w:rsidRPr="00282C3B">
        <w:rPr>
          <w:bCs/>
          <w:szCs w:val="28"/>
          <w:highlight w:val="green"/>
        </w:rPr>
        <w:t xml:space="preserve"> год сложилась на уровне 138,</w:t>
      </w:r>
      <w:r w:rsidR="0064392D" w:rsidRPr="00282C3B">
        <w:rPr>
          <w:bCs/>
          <w:szCs w:val="28"/>
          <w:highlight w:val="green"/>
        </w:rPr>
        <w:t>1</w:t>
      </w:r>
      <w:r w:rsidRPr="00282C3B">
        <w:rPr>
          <w:bCs/>
          <w:szCs w:val="28"/>
          <w:highlight w:val="green"/>
        </w:rPr>
        <w:t xml:space="preserve"> тыс. человек, по прогнозу среднегодовая численность за 201</w:t>
      </w:r>
      <w:r w:rsidR="0064392D" w:rsidRPr="00282C3B">
        <w:rPr>
          <w:bCs/>
          <w:szCs w:val="28"/>
          <w:highlight w:val="green"/>
        </w:rPr>
        <w:t>8</w:t>
      </w:r>
      <w:r w:rsidRPr="00282C3B">
        <w:rPr>
          <w:bCs/>
          <w:szCs w:val="28"/>
          <w:highlight w:val="green"/>
        </w:rPr>
        <w:t xml:space="preserve"> год составит 13</w:t>
      </w:r>
      <w:r w:rsidR="0064392D" w:rsidRPr="00282C3B">
        <w:rPr>
          <w:bCs/>
          <w:szCs w:val="28"/>
          <w:highlight w:val="green"/>
        </w:rPr>
        <w:t>6</w:t>
      </w:r>
      <w:r w:rsidRPr="00282C3B">
        <w:rPr>
          <w:bCs/>
          <w:szCs w:val="28"/>
          <w:highlight w:val="green"/>
        </w:rPr>
        <w:t>,</w:t>
      </w:r>
      <w:r w:rsidR="0064392D" w:rsidRPr="00282C3B">
        <w:rPr>
          <w:bCs/>
          <w:szCs w:val="28"/>
          <w:highlight w:val="green"/>
        </w:rPr>
        <w:t>2</w:t>
      </w:r>
      <w:r w:rsidRPr="00282C3B">
        <w:rPr>
          <w:bCs/>
          <w:szCs w:val="28"/>
          <w:highlight w:val="green"/>
        </w:rPr>
        <w:t xml:space="preserve"> тыс. человек, а к 20</w:t>
      </w:r>
      <w:r w:rsidR="0064392D" w:rsidRPr="00282C3B">
        <w:rPr>
          <w:bCs/>
          <w:szCs w:val="28"/>
          <w:highlight w:val="green"/>
        </w:rPr>
        <w:t>21</w:t>
      </w:r>
      <w:r w:rsidRPr="00282C3B">
        <w:rPr>
          <w:bCs/>
          <w:szCs w:val="28"/>
          <w:highlight w:val="green"/>
        </w:rPr>
        <w:t>-му снизится до 13</w:t>
      </w:r>
      <w:r w:rsidR="0064392D" w:rsidRPr="00282C3B">
        <w:rPr>
          <w:bCs/>
          <w:szCs w:val="28"/>
          <w:highlight w:val="green"/>
        </w:rPr>
        <w:t>3</w:t>
      </w:r>
      <w:r w:rsidRPr="00282C3B">
        <w:rPr>
          <w:bCs/>
          <w:szCs w:val="28"/>
          <w:highlight w:val="green"/>
        </w:rPr>
        <w:t>,</w:t>
      </w:r>
      <w:r w:rsidR="0064392D" w:rsidRPr="00282C3B">
        <w:rPr>
          <w:bCs/>
          <w:szCs w:val="28"/>
          <w:highlight w:val="green"/>
        </w:rPr>
        <w:t>9</w:t>
      </w:r>
      <w:r w:rsidRPr="00282C3B">
        <w:rPr>
          <w:bCs/>
          <w:szCs w:val="28"/>
          <w:highlight w:val="green"/>
        </w:rPr>
        <w:t xml:space="preserve"> тыс. человек (рис. 1).</w:t>
      </w:r>
    </w:p>
    <w:p w:rsidR="00170156" w:rsidRPr="00282C3B" w:rsidRDefault="00170156" w:rsidP="00170156">
      <w:pPr>
        <w:pStyle w:val="ac"/>
        <w:jc w:val="center"/>
        <w:rPr>
          <w:bCs/>
          <w:szCs w:val="28"/>
          <w:highlight w:val="green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282C3B">
        <w:rPr>
          <w:bCs/>
          <w:sz w:val="24"/>
          <w:szCs w:val="28"/>
          <w:highlight w:val="green"/>
        </w:rPr>
        <w:t>Рис. 1. Среднегодовая численность постоянного населения муниципального образования (тыс. человек)</w:t>
      </w:r>
    </w:p>
    <w:p w:rsidR="00170156" w:rsidRPr="00170156" w:rsidRDefault="00282C3B" w:rsidP="00170156">
      <w:pPr>
        <w:pStyle w:val="ac"/>
        <w:jc w:val="center"/>
        <w:rPr>
          <w:bCs/>
          <w:szCs w:val="28"/>
        </w:rPr>
      </w:pPr>
      <w:r w:rsidRPr="00282C3B">
        <w:rPr>
          <w:bCs/>
          <w:noProof/>
          <w:szCs w:val="28"/>
        </w:rPr>
        <w:drawing>
          <wp:inline distT="0" distB="0" distL="0" distR="0">
            <wp:extent cx="5605574" cy="3423683"/>
            <wp:effectExtent l="19050" t="0" r="14176" b="53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ind w:firstLine="709"/>
        <w:jc w:val="both"/>
        <w:rPr>
          <w:szCs w:val="28"/>
        </w:rPr>
      </w:pPr>
      <w:r w:rsidRPr="00170156">
        <w:rPr>
          <w:bCs/>
          <w:szCs w:val="28"/>
        </w:rPr>
        <w:t>Коэффициент рождаемости фактически за 201</w:t>
      </w:r>
      <w:r w:rsidR="00282C3B">
        <w:rPr>
          <w:bCs/>
          <w:szCs w:val="28"/>
        </w:rPr>
        <w:t>6</w:t>
      </w:r>
      <w:r w:rsidRPr="00170156">
        <w:rPr>
          <w:bCs/>
          <w:szCs w:val="28"/>
        </w:rPr>
        <w:t xml:space="preserve"> год составил 1</w:t>
      </w:r>
      <w:r w:rsidR="00282C3B">
        <w:rPr>
          <w:bCs/>
          <w:szCs w:val="28"/>
        </w:rPr>
        <w:t>0</w:t>
      </w:r>
      <w:r w:rsidRPr="00170156">
        <w:rPr>
          <w:bCs/>
          <w:szCs w:val="28"/>
        </w:rPr>
        <w:t>,</w:t>
      </w:r>
      <w:r w:rsidR="00282C3B">
        <w:rPr>
          <w:bCs/>
          <w:szCs w:val="28"/>
        </w:rPr>
        <w:t>7</w:t>
      </w:r>
      <w:r w:rsidRPr="00170156">
        <w:rPr>
          <w:bCs/>
          <w:szCs w:val="28"/>
        </w:rPr>
        <w:t xml:space="preserve"> (число </w:t>
      </w:r>
      <w:proofErr w:type="gramStart"/>
      <w:r w:rsidRPr="00170156">
        <w:rPr>
          <w:bCs/>
          <w:szCs w:val="28"/>
        </w:rPr>
        <w:t>родившихся</w:t>
      </w:r>
      <w:proofErr w:type="gramEnd"/>
      <w:r w:rsidRPr="00170156">
        <w:rPr>
          <w:bCs/>
          <w:szCs w:val="28"/>
        </w:rPr>
        <w:t xml:space="preserve"> на 1000 населения), </w:t>
      </w:r>
      <w:r w:rsidR="00282C3B">
        <w:rPr>
          <w:bCs/>
          <w:szCs w:val="28"/>
        </w:rPr>
        <w:t xml:space="preserve">что ниже </w:t>
      </w:r>
      <w:r w:rsidRPr="00170156">
        <w:rPr>
          <w:bCs/>
          <w:szCs w:val="28"/>
        </w:rPr>
        <w:t>уров</w:t>
      </w:r>
      <w:r w:rsidR="00282C3B">
        <w:rPr>
          <w:bCs/>
          <w:szCs w:val="28"/>
        </w:rPr>
        <w:t>ня</w:t>
      </w:r>
      <w:r w:rsidRPr="00170156">
        <w:rPr>
          <w:bCs/>
          <w:szCs w:val="28"/>
        </w:rPr>
        <w:t xml:space="preserve"> 201</w:t>
      </w:r>
      <w:r w:rsidR="00282C3B">
        <w:rPr>
          <w:bCs/>
          <w:szCs w:val="28"/>
        </w:rPr>
        <w:t>5</w:t>
      </w:r>
      <w:r w:rsidRPr="00170156">
        <w:rPr>
          <w:bCs/>
          <w:szCs w:val="28"/>
        </w:rPr>
        <w:t xml:space="preserve"> года на </w:t>
      </w:r>
      <w:r w:rsidR="00282C3B">
        <w:rPr>
          <w:bCs/>
          <w:szCs w:val="28"/>
        </w:rPr>
        <w:t>11</w:t>
      </w:r>
      <w:r w:rsidRPr="00170156">
        <w:rPr>
          <w:bCs/>
          <w:szCs w:val="28"/>
        </w:rPr>
        <w:t>,</w:t>
      </w:r>
      <w:r w:rsidR="00282C3B">
        <w:rPr>
          <w:bCs/>
          <w:szCs w:val="28"/>
        </w:rPr>
        <w:t>6</w:t>
      </w:r>
      <w:r w:rsidRPr="00170156">
        <w:rPr>
          <w:bCs/>
          <w:szCs w:val="28"/>
        </w:rPr>
        <w:t xml:space="preserve">%. </w:t>
      </w:r>
      <w:r w:rsidR="00282C3B">
        <w:rPr>
          <w:bCs/>
          <w:szCs w:val="28"/>
        </w:rPr>
        <w:t>Уровень смертности в тот же период составил 16,6</w:t>
      </w:r>
      <w:r w:rsidRPr="00170156">
        <w:rPr>
          <w:bCs/>
          <w:szCs w:val="28"/>
        </w:rPr>
        <w:t xml:space="preserve"> (</w:t>
      </w:r>
      <w:r w:rsidR="00282C3B">
        <w:rPr>
          <w:bCs/>
          <w:szCs w:val="28"/>
        </w:rPr>
        <w:t>96</w:t>
      </w:r>
      <w:r w:rsidRPr="00170156">
        <w:rPr>
          <w:bCs/>
          <w:szCs w:val="28"/>
        </w:rPr>
        <w:t>% по сравнению с уровнем 201</w:t>
      </w:r>
      <w:r w:rsidR="00282C3B">
        <w:rPr>
          <w:bCs/>
          <w:szCs w:val="28"/>
        </w:rPr>
        <w:t>5</w:t>
      </w:r>
      <w:r w:rsidRPr="00170156">
        <w:rPr>
          <w:bCs/>
          <w:szCs w:val="28"/>
        </w:rPr>
        <w:t xml:space="preserve"> года).</w:t>
      </w:r>
      <w:r w:rsidRPr="00170156">
        <w:rPr>
          <w:i/>
          <w:color w:val="FF0000"/>
          <w:szCs w:val="28"/>
        </w:rPr>
        <w:tab/>
      </w:r>
      <w:r w:rsidR="00D17478">
        <w:rPr>
          <w:i/>
          <w:color w:val="FF0000"/>
          <w:szCs w:val="28"/>
        </w:rPr>
        <w:t xml:space="preserve"> </w:t>
      </w:r>
      <w:r w:rsidRPr="00170156">
        <w:rPr>
          <w:szCs w:val="28"/>
        </w:rPr>
        <w:t>В прогнозный период ожидается ежегодное незначительное увеличение рождаемости, а также незначительное снижение смертности, что приведет к повышению коэффициента естественного прироста населения до -</w:t>
      </w:r>
      <w:r w:rsidR="00282C3B">
        <w:rPr>
          <w:szCs w:val="28"/>
        </w:rPr>
        <w:t>5</w:t>
      </w:r>
      <w:r w:rsidRPr="00170156">
        <w:rPr>
          <w:szCs w:val="28"/>
        </w:rPr>
        <w:t>,</w:t>
      </w:r>
      <w:r w:rsidR="00282C3B">
        <w:rPr>
          <w:szCs w:val="28"/>
        </w:rPr>
        <w:t>5</w:t>
      </w:r>
      <w:r w:rsidRPr="00170156">
        <w:rPr>
          <w:szCs w:val="28"/>
        </w:rPr>
        <w:t xml:space="preserve"> человек на 1000 населения в 20</w:t>
      </w:r>
      <w:r w:rsidR="00282C3B">
        <w:rPr>
          <w:szCs w:val="28"/>
        </w:rPr>
        <w:t>21</w:t>
      </w:r>
      <w:r w:rsidRPr="00170156">
        <w:rPr>
          <w:szCs w:val="28"/>
        </w:rPr>
        <w:t xml:space="preserve"> году (рис. 2).</w:t>
      </w:r>
    </w:p>
    <w:p w:rsidR="00170156" w:rsidRPr="00170156" w:rsidRDefault="00170156" w:rsidP="00170156">
      <w:pPr>
        <w:pStyle w:val="ac"/>
        <w:ind w:firstLine="709"/>
        <w:jc w:val="both"/>
        <w:rPr>
          <w:szCs w:val="28"/>
        </w:rPr>
      </w:pPr>
    </w:p>
    <w:p w:rsidR="00170156" w:rsidRPr="00170156" w:rsidRDefault="00170156" w:rsidP="00170156">
      <w:pPr>
        <w:pStyle w:val="ac"/>
        <w:jc w:val="center"/>
        <w:rPr>
          <w:sz w:val="24"/>
          <w:szCs w:val="28"/>
        </w:rPr>
      </w:pPr>
      <w:r w:rsidRPr="00170156">
        <w:rPr>
          <w:sz w:val="24"/>
          <w:szCs w:val="28"/>
        </w:rPr>
        <w:t>Рис. 2. Соотношение коэффициентов рождаемости и смертности населения муниципального образования</w:t>
      </w:r>
    </w:p>
    <w:p w:rsidR="00170156" w:rsidRPr="00170156" w:rsidRDefault="00282C3B" w:rsidP="00170156">
      <w:pPr>
        <w:pStyle w:val="ac"/>
        <w:jc w:val="center"/>
        <w:rPr>
          <w:b/>
          <w:bCs/>
          <w:szCs w:val="28"/>
        </w:rPr>
      </w:pPr>
      <w:r w:rsidRPr="00282C3B">
        <w:rPr>
          <w:b/>
          <w:bCs/>
          <w:noProof/>
          <w:szCs w:val="28"/>
        </w:rPr>
        <w:drawing>
          <wp:inline distT="0" distB="0" distL="0" distR="0">
            <wp:extent cx="5244066" cy="2892056"/>
            <wp:effectExtent l="19050" t="0" r="13734" b="354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156" w:rsidRPr="00170156" w:rsidRDefault="00170156" w:rsidP="00170156">
      <w:pPr>
        <w:pStyle w:val="ac"/>
        <w:ind w:firstLine="709"/>
        <w:jc w:val="both"/>
        <w:rPr>
          <w:b/>
          <w:bCs/>
          <w:szCs w:val="28"/>
          <w:highlight w:val="green"/>
        </w:rPr>
      </w:pPr>
    </w:p>
    <w:p w:rsidR="00170156" w:rsidRPr="00170156" w:rsidRDefault="00D17478" w:rsidP="00170156">
      <w:pPr>
        <w:pStyle w:val="ac"/>
        <w:ind w:firstLine="709"/>
        <w:jc w:val="both"/>
        <w:rPr>
          <w:bCs/>
          <w:szCs w:val="28"/>
        </w:rPr>
      </w:pPr>
      <w:r w:rsidRPr="00E3246C">
        <w:rPr>
          <w:b/>
          <w:bCs/>
          <w:szCs w:val="28"/>
        </w:rPr>
        <w:t>Объем отгруженных товаров собственного производства выполненных работ и услуг собственными силами</w:t>
      </w:r>
      <w:r w:rsidRPr="00E3246C">
        <w:rPr>
          <w:bCs/>
          <w:szCs w:val="28"/>
        </w:rPr>
        <w:t xml:space="preserve"> по полному кругу организаций</w:t>
      </w:r>
      <w:r w:rsidRPr="00B04973">
        <w:rPr>
          <w:bCs/>
          <w:szCs w:val="28"/>
        </w:rPr>
        <w:t xml:space="preserve"> производителей по оценке 201</w:t>
      </w:r>
      <w:r>
        <w:rPr>
          <w:bCs/>
          <w:szCs w:val="28"/>
        </w:rPr>
        <w:t>7</w:t>
      </w:r>
      <w:r w:rsidRPr="00B04973">
        <w:rPr>
          <w:bCs/>
          <w:szCs w:val="28"/>
        </w:rPr>
        <w:t xml:space="preserve"> года был запланирован на уровне </w:t>
      </w:r>
      <w:r w:rsidRPr="00E3246C">
        <w:rPr>
          <w:bCs/>
          <w:szCs w:val="28"/>
        </w:rPr>
        <w:t>109 440,80</w:t>
      </w:r>
      <w:r>
        <w:rPr>
          <w:bCs/>
          <w:szCs w:val="28"/>
        </w:rPr>
        <w:t xml:space="preserve"> </w:t>
      </w:r>
      <w:r w:rsidRPr="00B04973">
        <w:rPr>
          <w:bCs/>
          <w:szCs w:val="28"/>
        </w:rPr>
        <w:t>млн</w:t>
      </w:r>
      <w:proofErr w:type="gramStart"/>
      <w:r w:rsidRPr="00B04973">
        <w:rPr>
          <w:bCs/>
          <w:szCs w:val="28"/>
        </w:rPr>
        <w:t>.р</w:t>
      </w:r>
      <w:proofErr w:type="gramEnd"/>
      <w:r w:rsidRPr="00B04973">
        <w:rPr>
          <w:bCs/>
          <w:szCs w:val="28"/>
        </w:rPr>
        <w:t xml:space="preserve">ублей, а  фактически он составил </w:t>
      </w:r>
      <w:r>
        <w:rPr>
          <w:bCs/>
          <w:szCs w:val="28"/>
        </w:rPr>
        <w:t>109 125,3</w:t>
      </w:r>
      <w:r w:rsidRPr="00B04973">
        <w:rPr>
          <w:bCs/>
          <w:szCs w:val="28"/>
        </w:rPr>
        <w:t xml:space="preserve"> млн.рублей, что на </w:t>
      </w:r>
      <w:r>
        <w:rPr>
          <w:bCs/>
          <w:szCs w:val="28"/>
        </w:rPr>
        <w:t>0,3</w:t>
      </w:r>
      <w:r w:rsidRPr="00B04973">
        <w:rPr>
          <w:bCs/>
          <w:szCs w:val="28"/>
        </w:rPr>
        <w:t>% ниже прогнозируемого показателя. Рост индекса промышленного производства связан с реализацией крупных инвестиционных проектов и увеличением объема отгруженной продукции на обрабатывающих производствах. Статистические данные за первое полугодие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 года показывают рост уровня объема отгруженной продукции на </w:t>
      </w:r>
      <w:r>
        <w:rPr>
          <w:bCs/>
          <w:szCs w:val="28"/>
        </w:rPr>
        <w:t>13,2</w:t>
      </w:r>
      <w:r w:rsidRPr="00B04973">
        <w:rPr>
          <w:bCs/>
          <w:szCs w:val="28"/>
        </w:rPr>
        <w:t>% в сопоставимых ценах, демонстрируя положительную динамику. По оценке, в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 году индекс промышленного производства составит 10</w:t>
      </w:r>
      <w:r>
        <w:rPr>
          <w:bCs/>
          <w:szCs w:val="28"/>
        </w:rPr>
        <w:t>7</w:t>
      </w:r>
      <w:r w:rsidRPr="00B04973">
        <w:rPr>
          <w:bCs/>
          <w:szCs w:val="28"/>
        </w:rPr>
        <w:t>,5%. Вследствие неопределенности геополитической обстановки рост производства в 2018 году и последующих годах прогнозируется на уровне около 2,</w:t>
      </w:r>
      <w:r>
        <w:rPr>
          <w:bCs/>
          <w:szCs w:val="28"/>
        </w:rPr>
        <w:t>3</w:t>
      </w:r>
      <w:r w:rsidRPr="00B04973">
        <w:rPr>
          <w:bCs/>
          <w:szCs w:val="28"/>
        </w:rPr>
        <w:t>-3</w:t>
      </w:r>
      <w:r>
        <w:rPr>
          <w:bCs/>
          <w:szCs w:val="28"/>
        </w:rPr>
        <w:t>,7</w:t>
      </w:r>
      <w:r w:rsidRPr="00B04973">
        <w:rPr>
          <w:bCs/>
          <w:szCs w:val="28"/>
        </w:rPr>
        <w:t>% (рис. 3).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Рис. 3. Объем отгруженной продукции (по полному кругу организаций) в действующих ценах, млн. руб.</w:t>
      </w:r>
    </w:p>
    <w:p w:rsidR="00170156" w:rsidRPr="00170156" w:rsidRDefault="00D17478" w:rsidP="00170156">
      <w:pPr>
        <w:pStyle w:val="ac"/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4835925" cy="2753833"/>
            <wp:effectExtent l="19050" t="0" r="277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52" cy="275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6" w:rsidRPr="00170156" w:rsidRDefault="007E7386" w:rsidP="00170156">
      <w:pPr>
        <w:pStyle w:val="ac"/>
        <w:ind w:firstLine="709"/>
        <w:jc w:val="both"/>
        <w:rPr>
          <w:bCs/>
          <w:szCs w:val="28"/>
        </w:rPr>
      </w:pPr>
      <w:r w:rsidRPr="00B04973">
        <w:rPr>
          <w:b/>
          <w:bCs/>
          <w:szCs w:val="28"/>
        </w:rPr>
        <w:t xml:space="preserve">В сельскохозяйственной отрасли </w:t>
      </w:r>
      <w:r w:rsidRPr="00B04973">
        <w:rPr>
          <w:bCs/>
          <w:szCs w:val="28"/>
        </w:rPr>
        <w:t>ситуация находится под влиянием нескольких разнонаправленных факторов. Положительное влияние на рост объемов производства оказывает снижение конкуренции со стороны  государств Европейского союза</w:t>
      </w:r>
      <w:r>
        <w:rPr>
          <w:bCs/>
          <w:szCs w:val="28"/>
        </w:rPr>
        <w:t xml:space="preserve">, </w:t>
      </w:r>
      <w:r w:rsidRPr="00B04973">
        <w:rPr>
          <w:bCs/>
          <w:szCs w:val="28"/>
        </w:rPr>
        <w:t>низкий курс рубля</w:t>
      </w:r>
      <w:r>
        <w:rPr>
          <w:bCs/>
          <w:szCs w:val="28"/>
        </w:rPr>
        <w:t xml:space="preserve"> и рост в хозяйствах муниципального образования поголовья крупного рогатого скота (тем не менее, продолжается тенденция снижения количества коров, при улучшении качества стада)</w:t>
      </w:r>
      <w:r w:rsidRPr="00B04973">
        <w:rPr>
          <w:bCs/>
          <w:szCs w:val="28"/>
        </w:rPr>
        <w:t>. В 201</w:t>
      </w:r>
      <w:r>
        <w:rPr>
          <w:bCs/>
          <w:szCs w:val="28"/>
        </w:rPr>
        <w:t>7</w:t>
      </w:r>
      <w:r w:rsidRPr="00B04973">
        <w:rPr>
          <w:bCs/>
          <w:szCs w:val="28"/>
        </w:rPr>
        <w:t xml:space="preserve"> году, рост составил </w:t>
      </w:r>
      <w:r>
        <w:rPr>
          <w:bCs/>
          <w:szCs w:val="28"/>
        </w:rPr>
        <w:t>9</w:t>
      </w:r>
      <w:r w:rsidRPr="00B04973">
        <w:rPr>
          <w:bCs/>
          <w:szCs w:val="28"/>
        </w:rPr>
        <w:t>,</w:t>
      </w:r>
      <w:r>
        <w:rPr>
          <w:bCs/>
          <w:szCs w:val="28"/>
        </w:rPr>
        <w:t>4</w:t>
      </w:r>
      <w:r w:rsidRPr="00B04973">
        <w:rPr>
          <w:bCs/>
          <w:szCs w:val="28"/>
        </w:rPr>
        <w:t>%. В текущем году индекс производства продукции сельского хозяйства составит по оценке около 102%. В прогнозном периоде может возобладать влияние как положительных, так и отрицательных факторов, поэтому рост продукции сельского хозяйства прогнозируется на уровне 10</w:t>
      </w:r>
      <w:r>
        <w:rPr>
          <w:bCs/>
          <w:szCs w:val="28"/>
        </w:rPr>
        <w:t>1</w:t>
      </w:r>
      <w:r w:rsidRPr="00B04973">
        <w:rPr>
          <w:bCs/>
          <w:szCs w:val="28"/>
        </w:rPr>
        <w:t>,</w:t>
      </w:r>
      <w:r>
        <w:rPr>
          <w:bCs/>
          <w:szCs w:val="28"/>
        </w:rPr>
        <w:t>7</w:t>
      </w:r>
      <w:r w:rsidRPr="00B04973">
        <w:rPr>
          <w:bCs/>
          <w:szCs w:val="28"/>
        </w:rPr>
        <w:t>-102,</w:t>
      </w:r>
      <w:r>
        <w:rPr>
          <w:bCs/>
          <w:szCs w:val="28"/>
        </w:rPr>
        <w:t>6</w:t>
      </w:r>
      <w:r w:rsidRPr="00B04973">
        <w:rPr>
          <w:bCs/>
          <w:szCs w:val="28"/>
        </w:rPr>
        <w:t xml:space="preserve">% </w:t>
      </w:r>
      <w:r w:rsidR="00170156" w:rsidRPr="00170156">
        <w:rPr>
          <w:bCs/>
          <w:szCs w:val="28"/>
        </w:rPr>
        <w:t xml:space="preserve">(рис.4). 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  <w:r w:rsidRPr="00170156">
        <w:rPr>
          <w:bCs/>
          <w:szCs w:val="28"/>
        </w:rPr>
        <w:t>Помимо объема производства продукции сельского хозяйства, изменения также претерпевает его структура. По оценке, в 201</w:t>
      </w:r>
      <w:r w:rsidR="007E7386">
        <w:rPr>
          <w:bCs/>
          <w:szCs w:val="28"/>
        </w:rPr>
        <w:t>9</w:t>
      </w:r>
      <w:r w:rsidRPr="00170156">
        <w:rPr>
          <w:bCs/>
          <w:szCs w:val="28"/>
        </w:rPr>
        <w:t>-</w:t>
      </w:r>
      <w:r w:rsidR="007E7386">
        <w:rPr>
          <w:bCs/>
          <w:szCs w:val="28"/>
        </w:rPr>
        <w:t>21</w:t>
      </w:r>
      <w:r w:rsidRPr="00170156">
        <w:rPr>
          <w:bCs/>
          <w:szCs w:val="28"/>
        </w:rPr>
        <w:t xml:space="preserve"> годах в общем объеме производства сельскохозяйственной продукции будет наблюдаться снижение доли животноводства и повышение доли растениеводства.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Рис. 4. Объем производства продукции сельского хозяйства в хозяйствах всех категорий, млн. руб.</w:t>
      </w:r>
    </w:p>
    <w:p w:rsidR="00170156" w:rsidRPr="00170156" w:rsidRDefault="00D17478" w:rsidP="00170156">
      <w:pPr>
        <w:pStyle w:val="ac"/>
        <w:jc w:val="center"/>
        <w:rPr>
          <w:bCs/>
          <w:szCs w:val="28"/>
        </w:rPr>
      </w:pPr>
      <w:r w:rsidRPr="00D17478">
        <w:rPr>
          <w:bCs/>
          <w:noProof/>
          <w:szCs w:val="28"/>
        </w:rPr>
        <w:drawing>
          <wp:inline distT="0" distB="0" distL="0" distR="0">
            <wp:extent cx="6119495" cy="3618391"/>
            <wp:effectExtent l="19050" t="0" r="14605" b="1109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0156" w:rsidRPr="00170156" w:rsidRDefault="00170156" w:rsidP="00170156">
      <w:pPr>
        <w:pStyle w:val="ac"/>
        <w:jc w:val="both"/>
        <w:rPr>
          <w:b/>
        </w:rPr>
      </w:pPr>
      <w:r w:rsidRPr="00170156">
        <w:rPr>
          <w:b/>
        </w:rPr>
        <w:tab/>
      </w:r>
    </w:p>
    <w:p w:rsidR="00170156" w:rsidRPr="00170156" w:rsidRDefault="007E7386" w:rsidP="00170156">
      <w:pPr>
        <w:pStyle w:val="ac"/>
        <w:ind w:firstLine="709"/>
        <w:jc w:val="both"/>
        <w:rPr>
          <w:bCs/>
          <w:szCs w:val="28"/>
        </w:rPr>
      </w:pPr>
      <w:r w:rsidRPr="00A3208F">
        <w:rPr>
          <w:b/>
          <w:bCs/>
          <w:szCs w:val="28"/>
        </w:rPr>
        <w:t>Оборот розничной торговли</w:t>
      </w:r>
      <w:r w:rsidRPr="00B04973">
        <w:rPr>
          <w:bCs/>
          <w:szCs w:val="28"/>
        </w:rPr>
        <w:t xml:space="preserve"> за 201</w:t>
      </w:r>
      <w:r>
        <w:rPr>
          <w:bCs/>
          <w:szCs w:val="28"/>
        </w:rPr>
        <w:t>7</w:t>
      </w:r>
      <w:r w:rsidRPr="00B04973">
        <w:rPr>
          <w:bCs/>
          <w:szCs w:val="28"/>
        </w:rPr>
        <w:t xml:space="preserve"> год прогнозировался в сумме 25893,65 млн. рублей, фактически он составил 2</w:t>
      </w:r>
      <w:r>
        <w:rPr>
          <w:bCs/>
          <w:szCs w:val="28"/>
        </w:rPr>
        <w:t>6</w:t>
      </w:r>
      <w:r w:rsidRPr="00B04973">
        <w:rPr>
          <w:bCs/>
          <w:szCs w:val="28"/>
        </w:rPr>
        <w:t xml:space="preserve"> </w:t>
      </w:r>
      <w:r>
        <w:rPr>
          <w:bCs/>
          <w:szCs w:val="28"/>
        </w:rPr>
        <w:t>280</w:t>
      </w:r>
      <w:r w:rsidRPr="00B04973">
        <w:rPr>
          <w:bCs/>
          <w:szCs w:val="28"/>
        </w:rPr>
        <w:t>,</w:t>
      </w:r>
      <w:r>
        <w:rPr>
          <w:bCs/>
          <w:szCs w:val="28"/>
        </w:rPr>
        <w:t xml:space="preserve">4 </w:t>
      </w:r>
      <w:r w:rsidRPr="00B04973">
        <w:rPr>
          <w:bCs/>
          <w:szCs w:val="28"/>
        </w:rPr>
        <w:t xml:space="preserve">млн. рублей, что составляет </w:t>
      </w:r>
      <w:r>
        <w:rPr>
          <w:bCs/>
          <w:szCs w:val="28"/>
        </w:rPr>
        <w:t>101,7</w:t>
      </w:r>
      <w:r w:rsidRPr="00B04973">
        <w:rPr>
          <w:bCs/>
          <w:szCs w:val="28"/>
        </w:rPr>
        <w:t>% от уровня 201</w:t>
      </w:r>
      <w:r>
        <w:rPr>
          <w:bCs/>
          <w:szCs w:val="28"/>
        </w:rPr>
        <w:t>6</w:t>
      </w:r>
      <w:r w:rsidRPr="00B04973">
        <w:rPr>
          <w:bCs/>
          <w:szCs w:val="28"/>
        </w:rPr>
        <w:t xml:space="preserve"> года в сопоставимых ценах. Прогнозируется, что  этот  показатель  по  муниципальному образованию  в 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 году составит </w:t>
      </w:r>
      <w:r w:rsidRPr="004F1A5F">
        <w:rPr>
          <w:bCs/>
          <w:szCs w:val="28"/>
        </w:rPr>
        <w:t>28</w:t>
      </w:r>
      <w:r>
        <w:rPr>
          <w:bCs/>
          <w:szCs w:val="28"/>
        </w:rPr>
        <w:t xml:space="preserve"> </w:t>
      </w:r>
      <w:r w:rsidRPr="004F1A5F">
        <w:rPr>
          <w:bCs/>
          <w:szCs w:val="28"/>
        </w:rPr>
        <w:t>194,53</w:t>
      </w:r>
      <w:r w:rsidRPr="00B04973">
        <w:rPr>
          <w:bCs/>
          <w:szCs w:val="28"/>
        </w:rPr>
        <w:t xml:space="preserve"> млн. рублей, а в 201</w:t>
      </w:r>
      <w:r>
        <w:rPr>
          <w:bCs/>
          <w:szCs w:val="28"/>
        </w:rPr>
        <w:t>9</w:t>
      </w:r>
      <w:r w:rsidRPr="00B04973">
        <w:rPr>
          <w:bCs/>
          <w:szCs w:val="28"/>
        </w:rPr>
        <w:t xml:space="preserve"> году достигнет значения </w:t>
      </w:r>
      <w:r w:rsidRPr="004F1A5F">
        <w:rPr>
          <w:bCs/>
          <w:szCs w:val="28"/>
        </w:rPr>
        <w:t>30</w:t>
      </w:r>
      <w:r>
        <w:rPr>
          <w:bCs/>
          <w:szCs w:val="28"/>
        </w:rPr>
        <w:t xml:space="preserve"> </w:t>
      </w:r>
      <w:r w:rsidRPr="004F1A5F">
        <w:rPr>
          <w:bCs/>
          <w:szCs w:val="28"/>
        </w:rPr>
        <w:t>348,09</w:t>
      </w:r>
      <w:r w:rsidRPr="00B04973">
        <w:rPr>
          <w:bCs/>
          <w:szCs w:val="28"/>
        </w:rPr>
        <w:t xml:space="preserve"> млн. рублей (10</w:t>
      </w:r>
      <w:r>
        <w:rPr>
          <w:bCs/>
          <w:szCs w:val="28"/>
        </w:rPr>
        <w:t>3,3</w:t>
      </w:r>
      <w:r w:rsidRPr="00B04973">
        <w:rPr>
          <w:bCs/>
          <w:szCs w:val="28"/>
        </w:rPr>
        <w:t xml:space="preserve">% к уровню предыдущего года в сопоставимых ценах). </w:t>
      </w:r>
      <w:r>
        <w:rPr>
          <w:bCs/>
          <w:szCs w:val="28"/>
        </w:rPr>
        <w:t>В</w:t>
      </w:r>
      <w:r w:rsidRPr="00B04973">
        <w:rPr>
          <w:bCs/>
          <w:szCs w:val="28"/>
        </w:rPr>
        <w:t xml:space="preserve"> последующие годы рост составит до </w:t>
      </w:r>
      <w:r>
        <w:rPr>
          <w:bCs/>
          <w:szCs w:val="28"/>
        </w:rPr>
        <w:t>3,5</w:t>
      </w:r>
      <w:r w:rsidRPr="00B04973">
        <w:rPr>
          <w:bCs/>
          <w:szCs w:val="28"/>
        </w:rPr>
        <w:t xml:space="preserve">% за год. Это связано с ежегодным увеличением количества магазинов розничной торговли, в том числе – сетевых, а также сравнительно низким уровнем инфляции </w:t>
      </w:r>
      <w:r w:rsidR="00170156" w:rsidRPr="00170156">
        <w:rPr>
          <w:bCs/>
          <w:szCs w:val="28"/>
        </w:rPr>
        <w:t>(рис. 5).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ind w:hanging="142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Рис. 5. Оборот розничной торговли, млн. руб.</w:t>
      </w:r>
    </w:p>
    <w:p w:rsidR="00170156" w:rsidRPr="00170156" w:rsidRDefault="007E7386" w:rsidP="00170156">
      <w:pPr>
        <w:pStyle w:val="ac"/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5350392" cy="3434317"/>
            <wp:effectExtent l="19050" t="0" r="2658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83" cy="343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6" w:rsidRPr="00170156" w:rsidRDefault="00170156" w:rsidP="00170156">
      <w:pPr>
        <w:pStyle w:val="ac"/>
        <w:ind w:firstLine="709"/>
        <w:jc w:val="both"/>
        <w:rPr>
          <w:b/>
          <w:bCs/>
          <w:szCs w:val="28"/>
          <w:highlight w:val="green"/>
        </w:rPr>
      </w:pPr>
    </w:p>
    <w:p w:rsidR="00170156" w:rsidRPr="00170156" w:rsidRDefault="007E7386" w:rsidP="00170156">
      <w:pPr>
        <w:pStyle w:val="ac"/>
        <w:ind w:firstLine="709"/>
        <w:jc w:val="both"/>
        <w:rPr>
          <w:bCs/>
          <w:szCs w:val="28"/>
        </w:rPr>
      </w:pPr>
      <w:r w:rsidRPr="00B04973">
        <w:rPr>
          <w:b/>
          <w:bCs/>
          <w:szCs w:val="28"/>
        </w:rPr>
        <w:t>Объем платных услуг населению</w:t>
      </w:r>
      <w:r w:rsidRPr="00B04973">
        <w:rPr>
          <w:bCs/>
          <w:szCs w:val="28"/>
        </w:rPr>
        <w:t xml:space="preserve"> за 201</w:t>
      </w:r>
      <w:r>
        <w:rPr>
          <w:bCs/>
          <w:szCs w:val="28"/>
        </w:rPr>
        <w:t>7</w:t>
      </w:r>
      <w:r w:rsidRPr="00B04973">
        <w:rPr>
          <w:bCs/>
          <w:szCs w:val="28"/>
        </w:rPr>
        <w:t xml:space="preserve"> год фактически составил </w:t>
      </w:r>
      <w:r>
        <w:rPr>
          <w:bCs/>
          <w:szCs w:val="28"/>
        </w:rPr>
        <w:t>6304,24</w:t>
      </w:r>
      <w:r w:rsidRPr="00B04973">
        <w:rPr>
          <w:bCs/>
          <w:szCs w:val="28"/>
        </w:rPr>
        <w:t xml:space="preserve"> млн. рублей, </w:t>
      </w:r>
      <w:r>
        <w:rPr>
          <w:bCs/>
          <w:szCs w:val="28"/>
        </w:rPr>
        <w:t>выш</w:t>
      </w:r>
      <w:r w:rsidRPr="00B04973">
        <w:rPr>
          <w:bCs/>
          <w:szCs w:val="28"/>
        </w:rPr>
        <w:t xml:space="preserve">е ожидаемого уровня на </w:t>
      </w:r>
      <w:r>
        <w:rPr>
          <w:bCs/>
          <w:szCs w:val="28"/>
        </w:rPr>
        <w:t>1,3</w:t>
      </w:r>
      <w:r w:rsidRPr="00B04973">
        <w:rPr>
          <w:bCs/>
          <w:szCs w:val="28"/>
        </w:rPr>
        <w:t>%. Это связано с</w:t>
      </w:r>
      <w:r>
        <w:rPr>
          <w:bCs/>
          <w:szCs w:val="28"/>
        </w:rPr>
        <w:t xml:space="preserve"> восстановлением</w:t>
      </w:r>
      <w:r w:rsidRPr="00B04973">
        <w:rPr>
          <w:bCs/>
          <w:szCs w:val="28"/>
        </w:rPr>
        <w:t xml:space="preserve"> спроса на платные услуги со стороны населения</w:t>
      </w:r>
      <w:r>
        <w:rPr>
          <w:bCs/>
          <w:szCs w:val="28"/>
        </w:rPr>
        <w:t>,</w:t>
      </w:r>
      <w:r w:rsidRPr="00B04973">
        <w:rPr>
          <w:bCs/>
          <w:szCs w:val="28"/>
        </w:rPr>
        <w:t xml:space="preserve"> </w:t>
      </w:r>
      <w:r>
        <w:rPr>
          <w:bCs/>
          <w:szCs w:val="28"/>
        </w:rPr>
        <w:t>несмотря</w:t>
      </w:r>
      <w:r w:rsidRPr="00B04973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B04973">
        <w:rPr>
          <w:bCs/>
          <w:szCs w:val="28"/>
        </w:rPr>
        <w:t>повышени</w:t>
      </w:r>
      <w:r>
        <w:rPr>
          <w:bCs/>
          <w:szCs w:val="28"/>
        </w:rPr>
        <w:t>е</w:t>
      </w:r>
      <w:r w:rsidRPr="00B04973">
        <w:rPr>
          <w:bCs/>
          <w:szCs w:val="28"/>
        </w:rPr>
        <w:t xml:space="preserve"> уровня цен, в первую очередь на товары первой необходимости. В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 году планируется повышение показателя на 1</w:t>
      </w:r>
      <w:r>
        <w:rPr>
          <w:bCs/>
          <w:szCs w:val="28"/>
        </w:rPr>
        <w:t>,9</w:t>
      </w:r>
      <w:r w:rsidRPr="00B04973">
        <w:rPr>
          <w:bCs/>
          <w:szCs w:val="28"/>
        </w:rPr>
        <w:t>%, а в прогнозный период – рост от 1,</w:t>
      </w:r>
      <w:r>
        <w:rPr>
          <w:bCs/>
          <w:szCs w:val="28"/>
        </w:rPr>
        <w:t>5</w:t>
      </w:r>
      <w:r w:rsidRPr="00B04973">
        <w:rPr>
          <w:bCs/>
          <w:szCs w:val="28"/>
        </w:rPr>
        <w:t xml:space="preserve"> до 2,</w:t>
      </w:r>
      <w:r>
        <w:rPr>
          <w:bCs/>
          <w:szCs w:val="28"/>
        </w:rPr>
        <w:t>7</w:t>
      </w:r>
      <w:r w:rsidRPr="00B04973">
        <w:rPr>
          <w:bCs/>
          <w:szCs w:val="28"/>
        </w:rPr>
        <w:t xml:space="preserve">% </w:t>
      </w:r>
      <w:r w:rsidR="00170156" w:rsidRPr="00170156">
        <w:rPr>
          <w:bCs/>
          <w:szCs w:val="28"/>
        </w:rPr>
        <w:t>(рис. 6).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Рис. 6. Объем платных услуг населению, млн. руб.</w:t>
      </w:r>
    </w:p>
    <w:p w:rsidR="00170156" w:rsidRPr="00170156" w:rsidRDefault="007E7386" w:rsidP="00170156">
      <w:pPr>
        <w:pStyle w:val="ac"/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5589226" cy="3530009"/>
            <wp:effectExtent l="1905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00" cy="35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6" w:rsidRPr="00170156" w:rsidRDefault="00170156" w:rsidP="00170156">
      <w:pPr>
        <w:pStyle w:val="ac"/>
        <w:ind w:firstLine="709"/>
        <w:jc w:val="both"/>
        <w:rPr>
          <w:b/>
          <w:bCs/>
          <w:szCs w:val="28"/>
          <w:highlight w:val="green"/>
        </w:rPr>
      </w:pPr>
    </w:p>
    <w:p w:rsidR="00170156" w:rsidRPr="00170156" w:rsidRDefault="007E7386" w:rsidP="00170156">
      <w:pPr>
        <w:pStyle w:val="ac"/>
        <w:ind w:firstLine="709"/>
        <w:jc w:val="both"/>
        <w:rPr>
          <w:bCs/>
          <w:szCs w:val="28"/>
        </w:rPr>
      </w:pPr>
      <w:r w:rsidRPr="00B04973">
        <w:rPr>
          <w:b/>
          <w:bCs/>
          <w:szCs w:val="28"/>
        </w:rPr>
        <w:t>Объем инвестиций в основной капитал.</w:t>
      </w:r>
      <w:r w:rsidRPr="00B04973">
        <w:rPr>
          <w:bCs/>
          <w:szCs w:val="28"/>
        </w:rPr>
        <w:t xml:space="preserve"> </w:t>
      </w:r>
      <w:proofErr w:type="gramStart"/>
      <w:r w:rsidRPr="00B04973">
        <w:rPr>
          <w:bCs/>
          <w:szCs w:val="28"/>
        </w:rPr>
        <w:t>В 201</w:t>
      </w:r>
      <w:r>
        <w:rPr>
          <w:bCs/>
          <w:szCs w:val="28"/>
        </w:rPr>
        <w:t>7 году рост объема инвестиций в основной капитал составил 13,2%</w:t>
      </w:r>
      <w:r w:rsidRPr="00B04973">
        <w:rPr>
          <w:bCs/>
          <w:szCs w:val="28"/>
        </w:rPr>
        <w:t xml:space="preserve">. </w:t>
      </w:r>
      <w:r>
        <w:rPr>
          <w:bCs/>
          <w:szCs w:val="28"/>
        </w:rPr>
        <w:t xml:space="preserve">Это связано с осуществлением крупных инвестиционных проектов: строительство заводов «Аквапанель» и «Руссоль», закупкой технологического оборудования на эти производства, </w:t>
      </w:r>
      <w:r>
        <w:rPr>
          <w:szCs w:val="28"/>
        </w:rPr>
        <w:t>с</w:t>
      </w:r>
      <w:r w:rsidRPr="00577304">
        <w:rPr>
          <w:szCs w:val="28"/>
        </w:rPr>
        <w:t>троительство цеха по производству жидких комплексных добавок для бетона</w:t>
      </w:r>
      <w:r>
        <w:rPr>
          <w:szCs w:val="28"/>
        </w:rPr>
        <w:t xml:space="preserve"> ООО «Полипласт Новомосковск»</w:t>
      </w:r>
      <w:r>
        <w:rPr>
          <w:bCs/>
          <w:szCs w:val="28"/>
        </w:rPr>
        <w:t>, продолжение реализации программ развития предприятий АО «НАК «Азот» и ООО «Проктер энд Гэмбл Новомосковск», животноводческие предприятия инвестируют в рост</w:t>
      </w:r>
      <w:proofErr w:type="gramEnd"/>
      <w:r>
        <w:rPr>
          <w:bCs/>
          <w:szCs w:val="28"/>
        </w:rPr>
        <w:t xml:space="preserve"> продуктивного племенного стада. </w:t>
      </w:r>
      <w:r w:rsidRPr="00B04973">
        <w:rPr>
          <w:bCs/>
          <w:szCs w:val="28"/>
        </w:rPr>
        <w:t>В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-м </w:t>
      </w:r>
      <w:r>
        <w:rPr>
          <w:bCs/>
          <w:szCs w:val="28"/>
        </w:rPr>
        <w:t xml:space="preserve">году </w:t>
      </w:r>
      <w:r w:rsidRPr="00B04973">
        <w:rPr>
          <w:bCs/>
          <w:szCs w:val="28"/>
        </w:rPr>
        <w:t>прогнозируется небольшой рост на уровне 0,</w:t>
      </w:r>
      <w:r>
        <w:rPr>
          <w:bCs/>
          <w:szCs w:val="28"/>
        </w:rPr>
        <w:t>3</w:t>
      </w:r>
      <w:r w:rsidRPr="00B04973">
        <w:rPr>
          <w:bCs/>
          <w:szCs w:val="28"/>
        </w:rPr>
        <w:t>-</w:t>
      </w:r>
      <w:r>
        <w:rPr>
          <w:bCs/>
          <w:szCs w:val="28"/>
        </w:rPr>
        <w:t>2</w:t>
      </w:r>
      <w:r w:rsidRPr="00B04973">
        <w:rPr>
          <w:bCs/>
          <w:szCs w:val="28"/>
        </w:rPr>
        <w:t>% в сопоставимых ценах, что связано в первую очередь с нестабильной политической обстановкой в мире и возможным снижением уровня инвестиций. В 2019-2</w:t>
      </w:r>
      <w:r>
        <w:rPr>
          <w:bCs/>
          <w:szCs w:val="28"/>
        </w:rPr>
        <w:t>1</w:t>
      </w:r>
      <w:r w:rsidRPr="00B04973">
        <w:rPr>
          <w:bCs/>
          <w:szCs w:val="28"/>
        </w:rPr>
        <w:t xml:space="preserve"> годах планируется рост инвестиций на уровне 1-</w:t>
      </w:r>
      <w:r>
        <w:rPr>
          <w:bCs/>
          <w:szCs w:val="28"/>
        </w:rPr>
        <w:t>2</w:t>
      </w:r>
      <w:r w:rsidRPr="00B04973">
        <w:rPr>
          <w:bCs/>
          <w:szCs w:val="28"/>
        </w:rPr>
        <w:t>%, а также повышение доли заемных сре</w:t>
      </w:r>
      <w:proofErr w:type="gramStart"/>
      <w:r w:rsidRPr="00B04973">
        <w:rPr>
          <w:bCs/>
          <w:szCs w:val="28"/>
        </w:rPr>
        <w:t>дств в к</w:t>
      </w:r>
      <w:proofErr w:type="gramEnd"/>
      <w:r w:rsidRPr="00B04973">
        <w:rPr>
          <w:bCs/>
          <w:szCs w:val="28"/>
        </w:rPr>
        <w:t>ачестве источника финансирования из-за повышения доступности кредитных ресурсов</w:t>
      </w:r>
      <w:r w:rsidRPr="00170156">
        <w:rPr>
          <w:bCs/>
          <w:szCs w:val="28"/>
        </w:rPr>
        <w:t xml:space="preserve"> </w:t>
      </w:r>
      <w:r w:rsidR="00170156" w:rsidRPr="00170156">
        <w:rPr>
          <w:bCs/>
          <w:szCs w:val="28"/>
        </w:rPr>
        <w:t>(рис. 7).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 xml:space="preserve">Рис. 7. Объем инвестиций в основной капитал за счет всех источников финансирования, </w:t>
      </w: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млн. руб.</w:t>
      </w:r>
    </w:p>
    <w:p w:rsidR="00170156" w:rsidRPr="00170156" w:rsidRDefault="007E7386" w:rsidP="00170156">
      <w:pPr>
        <w:pStyle w:val="ac"/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5913917" cy="3646967"/>
            <wp:effectExtent l="1905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73" cy="365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6" w:rsidRPr="00170156" w:rsidRDefault="00170156" w:rsidP="00170156">
      <w:pPr>
        <w:pStyle w:val="ac"/>
        <w:ind w:firstLine="709"/>
        <w:jc w:val="both"/>
        <w:rPr>
          <w:b/>
          <w:bCs/>
          <w:szCs w:val="28"/>
          <w:highlight w:val="green"/>
        </w:rPr>
      </w:pPr>
    </w:p>
    <w:p w:rsidR="00170156" w:rsidRPr="00170156" w:rsidRDefault="007E7386" w:rsidP="007E7386">
      <w:pPr>
        <w:pStyle w:val="ac"/>
        <w:spacing w:line="264" w:lineRule="auto"/>
        <w:ind w:firstLine="709"/>
        <w:jc w:val="both"/>
        <w:rPr>
          <w:bCs/>
          <w:szCs w:val="28"/>
        </w:rPr>
      </w:pPr>
      <w:r w:rsidRPr="00B04973">
        <w:rPr>
          <w:b/>
          <w:bCs/>
          <w:szCs w:val="28"/>
        </w:rPr>
        <w:t>Финансовый результат</w:t>
      </w:r>
      <w:r w:rsidRPr="00B04973">
        <w:rPr>
          <w:bCs/>
          <w:szCs w:val="28"/>
        </w:rPr>
        <w:t xml:space="preserve"> по всем видам деятельности в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 году  прогнозируется ниже уровня 201</w:t>
      </w:r>
      <w:r>
        <w:rPr>
          <w:bCs/>
          <w:szCs w:val="28"/>
        </w:rPr>
        <w:t>7</w:t>
      </w:r>
      <w:r w:rsidRPr="00B04973">
        <w:rPr>
          <w:bCs/>
          <w:szCs w:val="28"/>
        </w:rPr>
        <w:t xml:space="preserve"> года на </w:t>
      </w:r>
      <w:r>
        <w:rPr>
          <w:bCs/>
          <w:szCs w:val="28"/>
        </w:rPr>
        <w:t>5</w:t>
      </w:r>
      <w:r w:rsidRPr="00B04973">
        <w:rPr>
          <w:bCs/>
          <w:szCs w:val="28"/>
        </w:rPr>
        <w:t>,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% и составит </w:t>
      </w:r>
      <w:r>
        <w:rPr>
          <w:bCs/>
          <w:szCs w:val="28"/>
        </w:rPr>
        <w:t>18</w:t>
      </w:r>
      <w:r w:rsidRPr="00B04973">
        <w:rPr>
          <w:bCs/>
          <w:szCs w:val="28"/>
        </w:rPr>
        <w:t>,</w:t>
      </w:r>
      <w:r>
        <w:rPr>
          <w:bCs/>
          <w:szCs w:val="28"/>
        </w:rPr>
        <w:t>0</w:t>
      </w:r>
      <w:r w:rsidRPr="00B04973">
        <w:rPr>
          <w:bCs/>
          <w:szCs w:val="28"/>
        </w:rPr>
        <w:t xml:space="preserve"> млрд. рублей. Это связано в первую очередь со снижением прибыли по экспортным контрактам крупнейших предприятий муниципального образования. Ожидается, что в последующие годы будет наблюдаться тенденция незначительного увеличения объема прибыли из-за стабилизации курса национальной валюты и поддержания темпов инфляции на низком уровне. Также нельзя не учитывать тот факт, что основные химические предприятия промышленного кластера Новомосковска ведут свою деятельность в соответствии с западными стандартами, которые, в свою очередь, не предполагают составления долгосрочных прогнозов, соответственно, прибыль на следующий год предприятия прогнозируют не более</w:t>
      </w:r>
      <w:proofErr w:type="gramStart"/>
      <w:r w:rsidRPr="00B04973">
        <w:rPr>
          <w:bCs/>
          <w:szCs w:val="28"/>
        </w:rPr>
        <w:t>,</w:t>
      </w:r>
      <w:proofErr w:type="gramEnd"/>
      <w:r w:rsidRPr="00B04973">
        <w:rPr>
          <w:bCs/>
          <w:szCs w:val="28"/>
        </w:rPr>
        <w:t xml:space="preserve"> чем на уровне текущего года.</w:t>
      </w:r>
    </w:p>
    <w:p w:rsidR="00170156" w:rsidRPr="00170156" w:rsidRDefault="00170156" w:rsidP="00170156">
      <w:pPr>
        <w:pStyle w:val="ac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Рис. 8. Финансовый результат по всем видам деятельности, тыс. руб.</w:t>
      </w:r>
    </w:p>
    <w:p w:rsidR="00170156" w:rsidRPr="00170156" w:rsidRDefault="007E7386" w:rsidP="00170156">
      <w:pPr>
        <w:pStyle w:val="ac"/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6113837" cy="3413051"/>
            <wp:effectExtent l="19050" t="0" r="1213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41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86" w:rsidRDefault="007E7386" w:rsidP="00170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86" w:rsidRPr="007E7386" w:rsidRDefault="007E7386" w:rsidP="007E738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86">
        <w:rPr>
          <w:rFonts w:ascii="Times New Roman" w:hAnsi="Times New Roman" w:cs="Times New Roman"/>
          <w:b/>
          <w:sz w:val="28"/>
          <w:szCs w:val="28"/>
        </w:rPr>
        <w:t xml:space="preserve">Труд и занятость. </w:t>
      </w:r>
      <w:r w:rsidRPr="007E7386">
        <w:rPr>
          <w:rFonts w:ascii="Times New Roman" w:hAnsi="Times New Roman" w:cs="Times New Roman"/>
          <w:sz w:val="28"/>
          <w:szCs w:val="28"/>
        </w:rPr>
        <w:t>Фактическая среднесписочная численность работников организаций в 2017 году составила 43,11 тыс. человек, в 2018 году по прогнозу она составит 43,33 тыс. человек. Это связано с планируемым открытием 2 предприятий – завода цементных плит ООО «Кнауф Аквапанель» и производства сол</w:t>
      </w:r>
      <w:proofErr w:type="gramStart"/>
      <w:r w:rsidRPr="007E738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E7386">
        <w:rPr>
          <w:rFonts w:ascii="Times New Roman" w:hAnsi="Times New Roman" w:cs="Times New Roman"/>
          <w:sz w:val="28"/>
          <w:szCs w:val="28"/>
        </w:rPr>
        <w:t xml:space="preserve"> «Руссоль», а также со снижением уровня неформальной занятости. В 2019-21 годах прогнозируется рост численности (до уровня 43,36 тыс. человек в 2020 году).</w:t>
      </w:r>
      <w:r w:rsidRPr="007E7386">
        <w:rPr>
          <w:rFonts w:ascii="Times New Roman" w:hAnsi="Times New Roman" w:cs="Times New Roman"/>
          <w:b/>
          <w:sz w:val="28"/>
          <w:szCs w:val="28"/>
        </w:rPr>
        <w:tab/>
      </w:r>
    </w:p>
    <w:p w:rsidR="007E7386" w:rsidRPr="007E7386" w:rsidRDefault="007E7386" w:rsidP="007E738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86">
        <w:rPr>
          <w:rFonts w:ascii="Times New Roman" w:hAnsi="Times New Roman" w:cs="Times New Roman"/>
          <w:sz w:val="28"/>
          <w:szCs w:val="28"/>
        </w:rPr>
        <w:t>При разработке прогнозных показателей по труду</w:t>
      </w:r>
      <w:r w:rsidRPr="007E7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86">
        <w:rPr>
          <w:rFonts w:ascii="Times New Roman" w:hAnsi="Times New Roman" w:cs="Times New Roman"/>
          <w:sz w:val="28"/>
          <w:szCs w:val="28"/>
        </w:rPr>
        <w:t>исходили из того, что политика в области заработной платы должна быть сориентирована на увеличение реальной заработной платы, восстановление  ее роли,  как основного источника доходов и важнейшего стимула деловой активности работников. При осуществлении прогнозных расчетов фонда заработной платы, наряду с динамикой макроэкономических показателей учитывалась динамика численности и заработной платы на предприятиях и в организациях, расположенных на территории города.</w:t>
      </w:r>
      <w:r w:rsidRPr="007E7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0156" w:rsidRPr="00170156" w:rsidRDefault="007E7386" w:rsidP="007E7386">
      <w:pPr>
        <w:pStyle w:val="ac"/>
        <w:spacing w:line="264" w:lineRule="auto"/>
        <w:ind w:firstLine="709"/>
        <w:jc w:val="both"/>
        <w:rPr>
          <w:bCs/>
          <w:szCs w:val="28"/>
        </w:rPr>
      </w:pPr>
      <w:r w:rsidRPr="007E7386">
        <w:rPr>
          <w:bCs/>
          <w:szCs w:val="28"/>
        </w:rPr>
        <w:t xml:space="preserve">В 2017 году увеличение уровня среднемесячной заработной платы составило 2,6%, при уровне инфляции в 3,4%. В 2018 году планируется восстановление уровня доходов населения. Прогнозируемое увеличение </w:t>
      </w:r>
      <w:r w:rsidRPr="00B04973">
        <w:rPr>
          <w:bCs/>
          <w:szCs w:val="28"/>
        </w:rPr>
        <w:t>заработной платы в 201</w:t>
      </w:r>
      <w:r>
        <w:rPr>
          <w:bCs/>
          <w:szCs w:val="28"/>
        </w:rPr>
        <w:t>8</w:t>
      </w:r>
      <w:r w:rsidRPr="00B04973">
        <w:rPr>
          <w:bCs/>
          <w:szCs w:val="28"/>
        </w:rPr>
        <w:t xml:space="preserve"> году составит </w:t>
      </w:r>
      <w:r>
        <w:rPr>
          <w:bCs/>
          <w:szCs w:val="28"/>
        </w:rPr>
        <w:t>8</w:t>
      </w:r>
      <w:r w:rsidRPr="00B04973">
        <w:rPr>
          <w:bCs/>
          <w:szCs w:val="28"/>
        </w:rPr>
        <w:t>,</w:t>
      </w:r>
      <w:r>
        <w:rPr>
          <w:bCs/>
          <w:szCs w:val="28"/>
        </w:rPr>
        <w:t>0</w:t>
      </w:r>
      <w:r w:rsidRPr="00B04973">
        <w:rPr>
          <w:bCs/>
          <w:szCs w:val="28"/>
        </w:rPr>
        <w:t>% до уровня 3</w:t>
      </w:r>
      <w:r>
        <w:rPr>
          <w:bCs/>
          <w:szCs w:val="28"/>
        </w:rPr>
        <w:t>4768</w:t>
      </w:r>
      <w:r w:rsidRPr="00B04973">
        <w:rPr>
          <w:bCs/>
          <w:szCs w:val="28"/>
        </w:rPr>
        <w:t>,</w:t>
      </w:r>
      <w:r>
        <w:rPr>
          <w:bCs/>
          <w:szCs w:val="28"/>
        </w:rPr>
        <w:t>6</w:t>
      </w:r>
      <w:r w:rsidRPr="00B04973">
        <w:rPr>
          <w:bCs/>
          <w:szCs w:val="28"/>
        </w:rPr>
        <w:t xml:space="preserve"> рубля, при инфляции в 3%.  В прогнозном периоде планируется сохранение темпов роста заработной платы выше уровня инфляции </w:t>
      </w:r>
      <w:r w:rsidR="00170156" w:rsidRPr="00170156">
        <w:rPr>
          <w:bCs/>
          <w:szCs w:val="28"/>
        </w:rPr>
        <w:t>(рис. 9).</w:t>
      </w:r>
    </w:p>
    <w:p w:rsidR="00170156" w:rsidRPr="00170156" w:rsidRDefault="00170156" w:rsidP="00170156">
      <w:pPr>
        <w:pStyle w:val="ac"/>
        <w:ind w:firstLine="709"/>
        <w:jc w:val="both"/>
        <w:rPr>
          <w:bCs/>
          <w:szCs w:val="28"/>
        </w:rPr>
      </w:pPr>
    </w:p>
    <w:p w:rsidR="00170156" w:rsidRPr="00170156" w:rsidRDefault="00170156" w:rsidP="00170156">
      <w:pPr>
        <w:pStyle w:val="ac"/>
        <w:jc w:val="center"/>
        <w:rPr>
          <w:bCs/>
          <w:sz w:val="24"/>
          <w:szCs w:val="28"/>
        </w:rPr>
      </w:pPr>
      <w:r w:rsidRPr="00170156">
        <w:rPr>
          <w:bCs/>
          <w:sz w:val="24"/>
          <w:szCs w:val="28"/>
        </w:rPr>
        <w:t>Рис. 9. Среднемесячная заработная плата, руб.</w:t>
      </w:r>
    </w:p>
    <w:p w:rsidR="00170156" w:rsidRPr="00170156" w:rsidRDefault="00170156" w:rsidP="00170156">
      <w:pPr>
        <w:pStyle w:val="ac"/>
        <w:jc w:val="center"/>
        <w:rPr>
          <w:bCs/>
          <w:szCs w:val="28"/>
        </w:rPr>
      </w:pPr>
      <w:r w:rsidRPr="00170156">
        <w:rPr>
          <w:noProof/>
          <w:szCs w:val="28"/>
        </w:rPr>
        <w:drawing>
          <wp:inline distT="0" distB="0" distL="0" distR="0">
            <wp:extent cx="4998883" cy="3274828"/>
            <wp:effectExtent l="19050" t="0" r="11267" b="1772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7386" w:rsidRDefault="00170156" w:rsidP="0017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56"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7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56">
        <w:rPr>
          <w:rFonts w:ascii="Times New Roman" w:hAnsi="Times New Roman" w:cs="Times New Roman"/>
          <w:b/>
          <w:sz w:val="28"/>
          <w:szCs w:val="28"/>
        </w:rPr>
        <w:t xml:space="preserve">Развитие социальной сферы. </w:t>
      </w:r>
      <w:r w:rsidRPr="00170156">
        <w:rPr>
          <w:rFonts w:ascii="Times New Roman" w:hAnsi="Times New Roman" w:cs="Times New Roman"/>
          <w:sz w:val="28"/>
          <w:szCs w:val="28"/>
        </w:rPr>
        <w:t>В 201</w:t>
      </w:r>
      <w:r w:rsidR="007E7386">
        <w:rPr>
          <w:rFonts w:ascii="Times New Roman" w:hAnsi="Times New Roman" w:cs="Times New Roman"/>
          <w:sz w:val="28"/>
          <w:szCs w:val="28"/>
        </w:rPr>
        <w:t>7</w:t>
      </w:r>
      <w:r w:rsidRPr="00170156">
        <w:rPr>
          <w:rFonts w:ascii="Times New Roman" w:hAnsi="Times New Roman" w:cs="Times New Roman"/>
          <w:sz w:val="28"/>
          <w:szCs w:val="28"/>
        </w:rPr>
        <w:t xml:space="preserve"> году численность детей в дошкольных образовательных учреждениях составила 6</w:t>
      </w:r>
      <w:r w:rsidR="007E7386">
        <w:rPr>
          <w:rFonts w:ascii="Times New Roman" w:hAnsi="Times New Roman" w:cs="Times New Roman"/>
          <w:sz w:val="28"/>
          <w:szCs w:val="28"/>
        </w:rPr>
        <w:t>314</w:t>
      </w:r>
      <w:r w:rsidRPr="00170156">
        <w:rPr>
          <w:rFonts w:ascii="Times New Roman" w:hAnsi="Times New Roman" w:cs="Times New Roman"/>
          <w:sz w:val="28"/>
          <w:szCs w:val="28"/>
        </w:rPr>
        <w:t xml:space="preserve"> человек. В 20</w:t>
      </w:r>
      <w:r w:rsidR="007E7386">
        <w:rPr>
          <w:rFonts w:ascii="Times New Roman" w:hAnsi="Times New Roman" w:cs="Times New Roman"/>
          <w:sz w:val="28"/>
          <w:szCs w:val="28"/>
        </w:rPr>
        <w:t>18</w:t>
      </w:r>
      <w:r w:rsidRPr="00170156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численности детей до 6</w:t>
      </w:r>
      <w:r w:rsidR="007E7386">
        <w:rPr>
          <w:rFonts w:ascii="Times New Roman" w:hAnsi="Times New Roman" w:cs="Times New Roman"/>
          <w:sz w:val="28"/>
          <w:szCs w:val="28"/>
        </w:rPr>
        <w:t>400</w:t>
      </w:r>
      <w:r w:rsidRPr="00170156">
        <w:rPr>
          <w:rFonts w:ascii="Times New Roman" w:hAnsi="Times New Roman" w:cs="Times New Roman"/>
          <w:sz w:val="28"/>
          <w:szCs w:val="28"/>
        </w:rPr>
        <w:t xml:space="preserve"> человек. В период 20</w:t>
      </w:r>
      <w:r w:rsidR="007E7386">
        <w:rPr>
          <w:rFonts w:ascii="Times New Roman" w:hAnsi="Times New Roman" w:cs="Times New Roman"/>
          <w:sz w:val="28"/>
          <w:szCs w:val="28"/>
        </w:rPr>
        <w:t>19</w:t>
      </w:r>
      <w:r w:rsidRPr="00170156">
        <w:rPr>
          <w:rFonts w:ascii="Times New Roman" w:hAnsi="Times New Roman" w:cs="Times New Roman"/>
          <w:sz w:val="28"/>
          <w:szCs w:val="28"/>
        </w:rPr>
        <w:t>-20</w:t>
      </w:r>
      <w:r w:rsidR="007E7386">
        <w:rPr>
          <w:rFonts w:ascii="Times New Roman" w:hAnsi="Times New Roman" w:cs="Times New Roman"/>
          <w:sz w:val="28"/>
          <w:szCs w:val="28"/>
        </w:rPr>
        <w:t>21</w:t>
      </w:r>
      <w:r w:rsidRPr="00170156">
        <w:rPr>
          <w:rFonts w:ascii="Times New Roman" w:hAnsi="Times New Roman" w:cs="Times New Roman"/>
          <w:sz w:val="28"/>
          <w:szCs w:val="28"/>
        </w:rPr>
        <w:t xml:space="preserve"> годов планируется дальнейшее увеличение численности детей из-за увеличения рождаемости. Численность учащихся в общеобразовательных учреждениях в 201</w:t>
      </w:r>
      <w:r w:rsidR="007E7386">
        <w:rPr>
          <w:rFonts w:ascii="Times New Roman" w:hAnsi="Times New Roman" w:cs="Times New Roman"/>
          <w:sz w:val="28"/>
          <w:szCs w:val="28"/>
        </w:rPr>
        <w:t>7</w:t>
      </w:r>
      <w:r w:rsidRPr="00170156">
        <w:rPr>
          <w:rFonts w:ascii="Times New Roman" w:hAnsi="Times New Roman" w:cs="Times New Roman"/>
          <w:sz w:val="28"/>
          <w:szCs w:val="28"/>
        </w:rPr>
        <w:t xml:space="preserve"> году составила 12</w:t>
      </w:r>
      <w:r w:rsidR="007E7386">
        <w:rPr>
          <w:rFonts w:ascii="Times New Roman" w:hAnsi="Times New Roman" w:cs="Times New Roman"/>
          <w:sz w:val="28"/>
          <w:szCs w:val="28"/>
        </w:rPr>
        <w:t>830</w:t>
      </w:r>
      <w:r w:rsidRPr="00170156">
        <w:rPr>
          <w:rFonts w:ascii="Times New Roman" w:hAnsi="Times New Roman" w:cs="Times New Roman"/>
          <w:sz w:val="28"/>
          <w:szCs w:val="28"/>
        </w:rPr>
        <w:t xml:space="preserve"> человек. В 201</w:t>
      </w:r>
      <w:r w:rsidR="007E7386">
        <w:rPr>
          <w:rFonts w:ascii="Times New Roman" w:hAnsi="Times New Roman" w:cs="Times New Roman"/>
          <w:sz w:val="28"/>
          <w:szCs w:val="28"/>
        </w:rPr>
        <w:t>8</w:t>
      </w:r>
      <w:r w:rsidRPr="00170156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численности до 12</w:t>
      </w:r>
      <w:r w:rsidR="007E7386">
        <w:rPr>
          <w:rFonts w:ascii="Times New Roman" w:hAnsi="Times New Roman" w:cs="Times New Roman"/>
          <w:sz w:val="28"/>
          <w:szCs w:val="28"/>
        </w:rPr>
        <w:t>981</w:t>
      </w:r>
      <w:r w:rsidRPr="001701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7386">
        <w:rPr>
          <w:rFonts w:ascii="Times New Roman" w:hAnsi="Times New Roman" w:cs="Times New Roman"/>
          <w:sz w:val="28"/>
          <w:szCs w:val="28"/>
        </w:rPr>
        <w:t>а</w:t>
      </w:r>
      <w:r w:rsidRPr="00170156">
        <w:rPr>
          <w:rFonts w:ascii="Times New Roman" w:hAnsi="Times New Roman" w:cs="Times New Roman"/>
          <w:sz w:val="28"/>
          <w:szCs w:val="28"/>
        </w:rPr>
        <w:t>, а в прогнозный период – увеличение до уровня около 1</w:t>
      </w:r>
      <w:r w:rsidR="007E7386">
        <w:rPr>
          <w:rFonts w:ascii="Times New Roman" w:hAnsi="Times New Roman" w:cs="Times New Roman"/>
          <w:sz w:val="28"/>
          <w:szCs w:val="28"/>
        </w:rPr>
        <w:t>3</w:t>
      </w:r>
      <w:r w:rsidRPr="00170156">
        <w:rPr>
          <w:rFonts w:ascii="Times New Roman" w:hAnsi="Times New Roman" w:cs="Times New Roman"/>
          <w:sz w:val="28"/>
          <w:szCs w:val="28"/>
        </w:rPr>
        <w:t>5</w:t>
      </w:r>
      <w:r w:rsidR="007E7386">
        <w:rPr>
          <w:rFonts w:ascii="Times New Roman" w:hAnsi="Times New Roman" w:cs="Times New Roman"/>
          <w:sz w:val="28"/>
          <w:szCs w:val="28"/>
        </w:rPr>
        <w:t>67</w:t>
      </w:r>
      <w:r w:rsidRPr="001701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0156" w:rsidRDefault="00170156" w:rsidP="0017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1B" w:rsidRP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 w:rsidRPr="00170156">
        <w:rPr>
          <w:rFonts w:ascii="Times New Roman" w:hAnsi="Times New Roman" w:cs="Times New Roman"/>
          <w:b/>
          <w:sz w:val="28"/>
          <w:szCs w:val="28"/>
        </w:rPr>
        <w:t>Начальник экономического управления</w:t>
      </w:r>
      <w:r w:rsidRPr="00170156">
        <w:rPr>
          <w:rFonts w:ascii="Times New Roman" w:hAnsi="Times New Roman" w:cs="Times New Roman"/>
          <w:b/>
          <w:sz w:val="28"/>
          <w:szCs w:val="28"/>
        </w:rPr>
        <w:tab/>
      </w:r>
      <w:r w:rsidRPr="00170156">
        <w:rPr>
          <w:rFonts w:ascii="Times New Roman" w:hAnsi="Times New Roman" w:cs="Times New Roman"/>
          <w:b/>
          <w:sz w:val="28"/>
          <w:szCs w:val="28"/>
        </w:rPr>
        <w:tab/>
      </w:r>
      <w:r w:rsidRPr="00170156">
        <w:rPr>
          <w:rFonts w:ascii="Times New Roman" w:hAnsi="Times New Roman" w:cs="Times New Roman"/>
          <w:b/>
          <w:sz w:val="28"/>
          <w:szCs w:val="28"/>
        </w:rPr>
        <w:tab/>
        <w:t xml:space="preserve">   Е.А.  Шинкаренко</w:t>
      </w:r>
    </w:p>
    <w:sectPr w:rsidR="00AA211B" w:rsidRPr="00170156" w:rsidSect="0064392D">
      <w:footerReference w:type="even" r:id="rId17"/>
      <w:footerReference w:type="default" r:id="rId18"/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85" w:rsidRDefault="00F11E85" w:rsidP="00ED665A">
      <w:pPr>
        <w:spacing w:after="0" w:line="240" w:lineRule="auto"/>
      </w:pPr>
      <w:r>
        <w:separator/>
      </w:r>
    </w:p>
  </w:endnote>
  <w:endnote w:type="continuationSeparator" w:id="0">
    <w:p w:rsidR="00F11E85" w:rsidRDefault="00F11E85" w:rsidP="00E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85" w:rsidRDefault="00975C3E" w:rsidP="0064392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11E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11E85">
      <w:rPr>
        <w:rStyle w:val="af0"/>
        <w:noProof/>
      </w:rPr>
      <w:t>3</w:t>
    </w:r>
    <w:r>
      <w:rPr>
        <w:rStyle w:val="af0"/>
      </w:rPr>
      <w:fldChar w:fldCharType="end"/>
    </w:r>
  </w:p>
  <w:p w:rsidR="00F11E85" w:rsidRDefault="00F11E85" w:rsidP="0064392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85" w:rsidRDefault="00975C3E" w:rsidP="0064392D">
    <w:pPr>
      <w:pStyle w:val="ae"/>
      <w:framePr w:wrap="around" w:vAnchor="text" w:hAnchor="margin" w:xAlign="right" w:y="358"/>
      <w:rPr>
        <w:rStyle w:val="af0"/>
      </w:rPr>
    </w:pPr>
    <w:r>
      <w:rPr>
        <w:rStyle w:val="af0"/>
      </w:rPr>
      <w:fldChar w:fldCharType="begin"/>
    </w:r>
    <w:r w:rsidR="00F11E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A452D">
      <w:rPr>
        <w:rStyle w:val="af0"/>
        <w:noProof/>
      </w:rPr>
      <w:t>13</w:t>
    </w:r>
    <w:r>
      <w:rPr>
        <w:rStyle w:val="af0"/>
      </w:rPr>
      <w:fldChar w:fldCharType="end"/>
    </w:r>
  </w:p>
  <w:p w:rsidR="00F11E85" w:rsidRDefault="00F11E85" w:rsidP="0064392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85" w:rsidRDefault="00F11E85" w:rsidP="00ED665A">
      <w:pPr>
        <w:spacing w:after="0" w:line="240" w:lineRule="auto"/>
      </w:pPr>
      <w:r>
        <w:separator/>
      </w:r>
    </w:p>
  </w:footnote>
  <w:footnote w:type="continuationSeparator" w:id="0">
    <w:p w:rsidR="00F11E85" w:rsidRDefault="00F11E85" w:rsidP="00ED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E20"/>
    <w:multiLevelType w:val="multilevel"/>
    <w:tmpl w:val="7A06CD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4A53A70"/>
    <w:multiLevelType w:val="multilevel"/>
    <w:tmpl w:val="27728C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">
    <w:nsid w:val="169E6241"/>
    <w:multiLevelType w:val="multilevel"/>
    <w:tmpl w:val="888E369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198C40B2"/>
    <w:multiLevelType w:val="multilevel"/>
    <w:tmpl w:val="43E03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472257"/>
    <w:multiLevelType w:val="hybridMultilevel"/>
    <w:tmpl w:val="B1A0C950"/>
    <w:lvl w:ilvl="0" w:tplc="1E1C766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4269"/>
    <w:multiLevelType w:val="multilevel"/>
    <w:tmpl w:val="13783E2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0C29D1"/>
    <w:multiLevelType w:val="hybridMultilevel"/>
    <w:tmpl w:val="1C4CEB16"/>
    <w:lvl w:ilvl="0" w:tplc="6A6E6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05366B"/>
    <w:multiLevelType w:val="multilevel"/>
    <w:tmpl w:val="27984E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9">
    <w:nsid w:val="61BE07B4"/>
    <w:multiLevelType w:val="multilevel"/>
    <w:tmpl w:val="69C4F2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E35"/>
    <w:rsid w:val="00044295"/>
    <w:rsid w:val="000D1755"/>
    <w:rsid w:val="001131B2"/>
    <w:rsid w:val="001507AB"/>
    <w:rsid w:val="00170156"/>
    <w:rsid w:val="00183239"/>
    <w:rsid w:val="001C0899"/>
    <w:rsid w:val="00222D61"/>
    <w:rsid w:val="00246CE6"/>
    <w:rsid w:val="00255530"/>
    <w:rsid w:val="00255E7A"/>
    <w:rsid w:val="00282C3B"/>
    <w:rsid w:val="00283032"/>
    <w:rsid w:val="002B48D3"/>
    <w:rsid w:val="002C141E"/>
    <w:rsid w:val="002D7987"/>
    <w:rsid w:val="002F309F"/>
    <w:rsid w:val="00313185"/>
    <w:rsid w:val="00323CF6"/>
    <w:rsid w:val="00377973"/>
    <w:rsid w:val="003A452D"/>
    <w:rsid w:val="003C455E"/>
    <w:rsid w:val="003E22C4"/>
    <w:rsid w:val="003F3FFE"/>
    <w:rsid w:val="0040117D"/>
    <w:rsid w:val="0040355F"/>
    <w:rsid w:val="00444589"/>
    <w:rsid w:val="004446FC"/>
    <w:rsid w:val="00447CC7"/>
    <w:rsid w:val="00450028"/>
    <w:rsid w:val="00472859"/>
    <w:rsid w:val="00485ECC"/>
    <w:rsid w:val="004928D2"/>
    <w:rsid w:val="004F498D"/>
    <w:rsid w:val="00500A1C"/>
    <w:rsid w:val="00542E54"/>
    <w:rsid w:val="00573135"/>
    <w:rsid w:val="005825AA"/>
    <w:rsid w:val="0059551E"/>
    <w:rsid w:val="005D51CE"/>
    <w:rsid w:val="005E6D0D"/>
    <w:rsid w:val="005F4C4A"/>
    <w:rsid w:val="0063115A"/>
    <w:rsid w:val="0064392D"/>
    <w:rsid w:val="00664AF3"/>
    <w:rsid w:val="006A1935"/>
    <w:rsid w:val="006B599D"/>
    <w:rsid w:val="006F5EDC"/>
    <w:rsid w:val="007123B9"/>
    <w:rsid w:val="0072663C"/>
    <w:rsid w:val="007456FE"/>
    <w:rsid w:val="00762AA8"/>
    <w:rsid w:val="00771159"/>
    <w:rsid w:val="007A7307"/>
    <w:rsid w:val="007D390B"/>
    <w:rsid w:val="007D49B2"/>
    <w:rsid w:val="007E4446"/>
    <w:rsid w:val="007E7386"/>
    <w:rsid w:val="00806FC0"/>
    <w:rsid w:val="00811688"/>
    <w:rsid w:val="00815289"/>
    <w:rsid w:val="00860E35"/>
    <w:rsid w:val="00886CD4"/>
    <w:rsid w:val="008876B9"/>
    <w:rsid w:val="00893DA9"/>
    <w:rsid w:val="008A17B5"/>
    <w:rsid w:val="008D74AD"/>
    <w:rsid w:val="008F6AB2"/>
    <w:rsid w:val="00902504"/>
    <w:rsid w:val="00945AC7"/>
    <w:rsid w:val="00975C3E"/>
    <w:rsid w:val="0098271C"/>
    <w:rsid w:val="009A62E4"/>
    <w:rsid w:val="009E204E"/>
    <w:rsid w:val="009E4D20"/>
    <w:rsid w:val="009F0FF5"/>
    <w:rsid w:val="00A0158A"/>
    <w:rsid w:val="00A128E0"/>
    <w:rsid w:val="00A22996"/>
    <w:rsid w:val="00A3513E"/>
    <w:rsid w:val="00A35B28"/>
    <w:rsid w:val="00A803AC"/>
    <w:rsid w:val="00AA211B"/>
    <w:rsid w:val="00AA48AA"/>
    <w:rsid w:val="00AA749B"/>
    <w:rsid w:val="00AF09A7"/>
    <w:rsid w:val="00B25067"/>
    <w:rsid w:val="00B53441"/>
    <w:rsid w:val="00B80200"/>
    <w:rsid w:val="00B8324B"/>
    <w:rsid w:val="00B918CD"/>
    <w:rsid w:val="00BA70A9"/>
    <w:rsid w:val="00BB3766"/>
    <w:rsid w:val="00BC3487"/>
    <w:rsid w:val="00BD498F"/>
    <w:rsid w:val="00C10BDB"/>
    <w:rsid w:val="00C2613E"/>
    <w:rsid w:val="00C827C6"/>
    <w:rsid w:val="00C9553D"/>
    <w:rsid w:val="00C97651"/>
    <w:rsid w:val="00CC0D91"/>
    <w:rsid w:val="00CD235D"/>
    <w:rsid w:val="00D14A5C"/>
    <w:rsid w:val="00D17478"/>
    <w:rsid w:val="00D53E5C"/>
    <w:rsid w:val="00D55663"/>
    <w:rsid w:val="00D70AA3"/>
    <w:rsid w:val="00D91695"/>
    <w:rsid w:val="00D97453"/>
    <w:rsid w:val="00DA193E"/>
    <w:rsid w:val="00DF5F0A"/>
    <w:rsid w:val="00DF7C8B"/>
    <w:rsid w:val="00E40CBC"/>
    <w:rsid w:val="00E54E8E"/>
    <w:rsid w:val="00E5566A"/>
    <w:rsid w:val="00E74C5C"/>
    <w:rsid w:val="00EC630C"/>
    <w:rsid w:val="00ED665A"/>
    <w:rsid w:val="00EE3B63"/>
    <w:rsid w:val="00EF283F"/>
    <w:rsid w:val="00F0122B"/>
    <w:rsid w:val="00F03DA0"/>
    <w:rsid w:val="00F0432C"/>
    <w:rsid w:val="00F11E85"/>
    <w:rsid w:val="00F2317A"/>
    <w:rsid w:val="00F52CBE"/>
    <w:rsid w:val="00F65EB6"/>
    <w:rsid w:val="00F67546"/>
    <w:rsid w:val="00F7316C"/>
    <w:rsid w:val="00FA054E"/>
    <w:rsid w:val="00FC43CF"/>
    <w:rsid w:val="00F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35"/>
    <w:pPr>
      <w:ind w:left="720"/>
      <w:contextualSpacing/>
    </w:pPr>
  </w:style>
  <w:style w:type="table" w:styleId="a4">
    <w:name w:val="Table Grid"/>
    <w:basedOn w:val="a1"/>
    <w:rsid w:val="006A1935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86CD4"/>
  </w:style>
  <w:style w:type="character" w:styleId="a5">
    <w:name w:val="annotation reference"/>
    <w:basedOn w:val="a0"/>
    <w:uiPriority w:val="99"/>
    <w:semiHidden/>
    <w:unhideWhenUsed/>
    <w:rsid w:val="009A62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2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62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2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62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2E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C4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C4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170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170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17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01\Documents\&#1055;&#1088;&#1086;&#1075;&#1085;&#1086;&#1079;%202019\&#1055;&#1088;&#1086;&#1075;&#1085;&#1086;&#1079;_&#1076;&#1086;%202021_&#1087;&#1086;&#1083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01\Documents\&#1055;&#1088;&#1086;&#1075;&#1085;&#1086;&#1079;%202019\&#1055;&#1088;&#1086;&#1075;&#1085;&#1086;&#1079;_&#1076;&#1086;%202021_&#1087;&#1086;&#1083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01\Documents\&#1055;&#1088;&#1086;&#1075;&#1085;&#1086;&#1079;%202019\&#1055;&#1088;&#1086;&#1075;&#1085;&#1086;&#1079;_&#1076;&#1086;%202021_&#1087;&#1086;&#1083;&#1085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Численность постоянного населения (среднегодовая) </c:v>
                </c:pt>
              </c:strCache>
            </c:strRef>
          </c:tx>
          <c:cat>
            <c:strRef>
              <c:f>Лист1!$C$5:$H$6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Лист1!$C$8:$H$8</c:f>
              <c:numCache>
                <c:formatCode>#,##0.00</c:formatCode>
                <c:ptCount val="6"/>
                <c:pt idx="0">
                  <c:v>138</c:v>
                </c:pt>
                <c:pt idx="1">
                  <c:v>137.1</c:v>
                </c:pt>
                <c:pt idx="2">
                  <c:v>136.19999999999999</c:v>
                </c:pt>
                <c:pt idx="3">
                  <c:v>135.4</c:v>
                </c:pt>
                <c:pt idx="4">
                  <c:v>134.6</c:v>
                </c:pt>
                <c:pt idx="5">
                  <c:v>133.9</c:v>
                </c:pt>
              </c:numCache>
            </c:numRef>
          </c:val>
        </c:ser>
        <c:gapWidth val="40"/>
        <c:axId val="153776512"/>
        <c:axId val="68689920"/>
      </c:barChart>
      <c:catAx>
        <c:axId val="153776512"/>
        <c:scaling>
          <c:orientation val="minMax"/>
        </c:scaling>
        <c:axPos val="b"/>
        <c:tickLblPos val="nextTo"/>
        <c:crossAx val="68689920"/>
        <c:crosses val="autoZero"/>
        <c:auto val="1"/>
        <c:lblAlgn val="ctr"/>
        <c:lblOffset val="100"/>
      </c:catAx>
      <c:valAx>
        <c:axId val="68689920"/>
        <c:scaling>
          <c:orientation val="minMax"/>
        </c:scaling>
        <c:axPos val="l"/>
        <c:majorGridlines/>
        <c:numFmt formatCode="#,##0.00" sourceLinked="1"/>
        <c:tickLblPos val="nextTo"/>
        <c:crossAx val="1537765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Лист1!$A$14</c:f>
              <c:strCache>
                <c:ptCount val="1"/>
                <c:pt idx="0">
                  <c:v>Общий коэффициент рождаемости</c:v>
                </c:pt>
              </c:strCache>
            </c:strRef>
          </c:tx>
          <c:cat>
            <c:strRef>
              <c:f>Лист1!$C$5:$H$6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Лист1!$C$14:$H$14</c:f>
              <c:numCache>
                <c:formatCode>#,##0.00</c:formatCode>
                <c:ptCount val="6"/>
                <c:pt idx="0">
                  <c:v>10.7</c:v>
                </c:pt>
                <c:pt idx="1">
                  <c:v>9.5</c:v>
                </c:pt>
                <c:pt idx="2">
                  <c:v>8.75</c:v>
                </c:pt>
                <c:pt idx="3">
                  <c:v>9.6</c:v>
                </c:pt>
                <c:pt idx="4">
                  <c:v>9.9600000000000026</c:v>
                </c:pt>
                <c:pt idx="5">
                  <c:v>10.030000000000001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Общий коэффициент смертности</c:v>
                </c:pt>
              </c:strCache>
            </c:strRef>
          </c:tx>
          <c:cat>
            <c:strRef>
              <c:f>Лист1!$C$5:$H$6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Лист1!$C$15:$H$15</c:f>
              <c:numCache>
                <c:formatCode>#,##0.00</c:formatCode>
                <c:ptCount val="6"/>
                <c:pt idx="0">
                  <c:v>16.600000000000001</c:v>
                </c:pt>
                <c:pt idx="1">
                  <c:v>16.5</c:v>
                </c:pt>
                <c:pt idx="2">
                  <c:v>16.25</c:v>
                </c:pt>
                <c:pt idx="3">
                  <c:v>15.6</c:v>
                </c:pt>
                <c:pt idx="4">
                  <c:v>15.8</c:v>
                </c:pt>
                <c:pt idx="5">
                  <c:v>15.5</c:v>
                </c:pt>
              </c:numCache>
            </c:numRef>
          </c:val>
        </c:ser>
        <c:marker val="1"/>
        <c:axId val="70562176"/>
        <c:axId val="70563712"/>
      </c:lineChart>
      <c:catAx>
        <c:axId val="70562176"/>
        <c:scaling>
          <c:orientation val="minMax"/>
        </c:scaling>
        <c:axPos val="b"/>
        <c:tickLblPos val="nextTo"/>
        <c:crossAx val="70563712"/>
        <c:crosses val="autoZero"/>
        <c:auto val="1"/>
        <c:lblAlgn val="ctr"/>
        <c:lblOffset val="100"/>
      </c:catAx>
      <c:valAx>
        <c:axId val="70563712"/>
        <c:scaling>
          <c:orientation val="minMax"/>
        </c:scaling>
        <c:axPos val="l"/>
        <c:majorGridlines/>
        <c:numFmt formatCode="#,##0.00" sourceLinked="1"/>
        <c:tickLblPos val="nextTo"/>
        <c:crossAx val="70562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977149915084188"/>
          <c:w val="1"/>
          <c:h val="6.6372394627142256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Лист1!$A$53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Лист1!$C$5:$H$6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Лист1!$C$53:$H$53</c:f>
              <c:numCache>
                <c:formatCode>#,##0.00</c:formatCode>
                <c:ptCount val="6"/>
                <c:pt idx="0">
                  <c:v>2993.55</c:v>
                </c:pt>
                <c:pt idx="1">
                  <c:v>3070.8088260982931</c:v>
                </c:pt>
                <c:pt idx="2">
                  <c:v>3137.9499599999999</c:v>
                </c:pt>
                <c:pt idx="3">
                  <c:v>3378.6957899999998</c:v>
                </c:pt>
                <c:pt idx="4">
                  <c:v>3656.636</c:v>
                </c:pt>
                <c:pt idx="5">
                  <c:v>3938.0228999999995</c:v>
                </c:pt>
              </c:numCache>
            </c:numRef>
          </c:val>
        </c:ser>
        <c:ser>
          <c:idx val="1"/>
          <c:order val="1"/>
          <c:tx>
            <c:strRef>
              <c:f>Лист1!$A$56</c:f>
              <c:strCache>
                <c:ptCount val="1"/>
                <c:pt idx="0">
                  <c:v>Животноводство</c:v>
                </c:pt>
              </c:strCache>
            </c:strRef>
          </c:tx>
          <c:cat>
            <c:strRef>
              <c:f>Лист1!$C$5:$H$6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Лист1!$C$56:$H$56</c:f>
              <c:numCache>
                <c:formatCode>#,##0.00</c:formatCode>
                <c:ptCount val="6"/>
                <c:pt idx="0">
                  <c:v>2025.6499999999996</c:v>
                </c:pt>
                <c:pt idx="1">
                  <c:v>2187.2211739017066</c:v>
                </c:pt>
                <c:pt idx="2">
                  <c:v>2171.6100400000005</c:v>
                </c:pt>
                <c:pt idx="3">
                  <c:v>2243.0942100000002</c:v>
                </c:pt>
                <c:pt idx="4">
                  <c:v>2241.1639999999998</c:v>
                </c:pt>
                <c:pt idx="5">
                  <c:v>2312.8071000000004</c:v>
                </c:pt>
              </c:numCache>
            </c:numRef>
          </c:val>
        </c:ser>
        <c:gapWidth val="72"/>
        <c:overlap val="100"/>
        <c:axId val="70580864"/>
        <c:axId val="70586752"/>
      </c:barChart>
      <c:catAx>
        <c:axId val="70580864"/>
        <c:scaling>
          <c:orientation val="minMax"/>
        </c:scaling>
        <c:axPos val="b"/>
        <c:tickLblPos val="nextTo"/>
        <c:crossAx val="70586752"/>
        <c:crosses val="autoZero"/>
        <c:auto val="1"/>
        <c:lblAlgn val="ctr"/>
        <c:lblOffset val="100"/>
      </c:catAx>
      <c:valAx>
        <c:axId val="70586752"/>
        <c:scaling>
          <c:orientation val="minMax"/>
        </c:scaling>
        <c:axPos val="l"/>
        <c:majorGridlines/>
        <c:numFmt formatCode="#,##0.00" sourceLinked="1"/>
        <c:tickLblPos val="nextTo"/>
        <c:crossAx val="7058086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numRef>
              <c:f>Лист1!$E$5:$J$5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Лист1!$E$12:$J$12</c:f>
              <c:numCache>
                <c:formatCode>0.00</c:formatCode>
                <c:ptCount val="6"/>
                <c:pt idx="0">
                  <c:v>28579.397019278957</c:v>
                </c:pt>
                <c:pt idx="1">
                  <c:v>31386.38073146563</c:v>
                </c:pt>
                <c:pt idx="2">
                  <c:v>32904.617376681585</c:v>
                </c:pt>
                <c:pt idx="3">
                  <c:v>34722.156569298131</c:v>
                </c:pt>
                <c:pt idx="4">
                  <c:v>36722.360248351244</c:v>
                </c:pt>
                <c:pt idx="5">
                  <c:v>38462.461807705804</c:v>
                </c:pt>
              </c:numCache>
            </c:numRef>
          </c:val>
        </c:ser>
        <c:marker val="1"/>
        <c:axId val="70598016"/>
        <c:axId val="86774912"/>
      </c:lineChart>
      <c:catAx>
        <c:axId val="70598016"/>
        <c:scaling>
          <c:orientation val="minMax"/>
        </c:scaling>
        <c:axPos val="b"/>
        <c:numFmt formatCode="General" sourceLinked="1"/>
        <c:tickLblPos val="nextTo"/>
        <c:crossAx val="86774912"/>
        <c:crosses val="autoZero"/>
        <c:auto val="1"/>
        <c:lblAlgn val="ctr"/>
        <c:lblOffset val="100"/>
      </c:catAx>
      <c:valAx>
        <c:axId val="86774912"/>
        <c:scaling>
          <c:orientation val="minMax"/>
          <c:min val="25000"/>
        </c:scaling>
        <c:axPos val="l"/>
        <c:majorGridlines/>
        <c:numFmt formatCode="0.00" sourceLinked="1"/>
        <c:tickLblPos val="nextTo"/>
        <c:crossAx val="70598016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600000" cy="276190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0663-DE2E-4050-8D61-6E7BEDC7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ECO01</cp:lastModifiedBy>
  <cp:revision>2</cp:revision>
  <dcterms:created xsi:type="dcterms:W3CDTF">2018-09-25T05:57:00Z</dcterms:created>
  <dcterms:modified xsi:type="dcterms:W3CDTF">2018-09-25T05:57:00Z</dcterms:modified>
</cp:coreProperties>
</file>